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22741A0C"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sidR="00EB1F06">
        <w:rPr>
          <w:sz w:val="52"/>
          <w:szCs w:val="52"/>
        </w:rPr>
        <w:t>5</w:t>
      </w:r>
      <w:r w:rsidRPr="000F434D">
        <w:rPr>
          <w:sz w:val="52"/>
          <w:szCs w:val="52"/>
        </w:rPr>
        <w:t>-202</w:t>
      </w:r>
      <w:r w:rsidR="00EB1F06">
        <w:rPr>
          <w:sz w:val="52"/>
          <w:szCs w:val="52"/>
        </w:rPr>
        <w:t>7</w:t>
      </w:r>
      <w:r w:rsidRPr="000F434D">
        <w:rPr>
          <w:sz w:val="52"/>
          <w:szCs w:val="52"/>
        </w:rPr>
        <w:t xml:space="preserve"> E DOCUMENTI ALLEGATI</w:t>
      </w:r>
      <w:r w:rsidR="00C46B64">
        <w:rPr>
          <w:sz w:val="52"/>
          <w:szCs w:val="52"/>
        </w:rPr>
        <w:t xml:space="preserve"> – aggiornato con la legge di bilancio </w:t>
      </w:r>
      <w:r w:rsidR="00AF7672">
        <w:rPr>
          <w:sz w:val="52"/>
          <w:szCs w:val="52"/>
        </w:rPr>
        <w:t>2025</w:t>
      </w:r>
    </w:p>
    <w:bookmarkEnd w:id="0"/>
    <w:p w14:paraId="2F952FFA" w14:textId="284E4438" w:rsidR="00B96B24" w:rsidRPr="00AF7672" w:rsidRDefault="00B96B24" w:rsidP="009D4EA8">
      <w:pPr>
        <w:autoSpaceDE w:val="0"/>
        <w:autoSpaceDN w:val="0"/>
        <w:adjustRightInd w:val="0"/>
        <w:spacing w:after="0" w:line="240" w:lineRule="auto"/>
        <w:rPr>
          <w:rFonts w:ascii="Calibri" w:eastAsia="Calibri" w:hAnsi="Calibri" w:cs="Calibri"/>
          <w:b/>
          <w:smallCaps/>
          <w:color w:val="FFFFFF" w:themeColor="background1"/>
          <w:sz w:val="52"/>
          <w:szCs w:val="5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32330E44" w:rsidR="00832D7E" w:rsidRPr="00B96B24" w:rsidRDefault="0045691F" w:rsidP="00832D7E">
                            <w:pPr>
                              <w:pStyle w:val="TipoDocumento"/>
                              <w:jc w:val="right"/>
                            </w:pPr>
                            <w:r>
                              <w:t xml:space="preserve"> </w:t>
                            </w:r>
                            <w:r w:rsidR="00113EBF">
                              <w:t>1</w:t>
                            </w:r>
                            <w:r w:rsidR="00F53C18">
                              <w:t>5</w:t>
                            </w:r>
                            <w:r w:rsidR="00044C13">
                              <w:t xml:space="preserve"> gennaio 2025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7D327D" id="_x0000_t202" coordsize="21600,21600" o:spt="202" path="m,l,21600r21600,l21600,xe">
                <v:stroke joinstyle="miter"/>
                <v:path gradientshapeok="t" o:connecttype="rect"/>
              </v:shapetype>
              <v:shape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32330E44" w:rsidR="00832D7E" w:rsidRPr="00B96B24" w:rsidRDefault="0045691F" w:rsidP="00832D7E">
                      <w:pPr>
                        <w:pStyle w:val="TipoDocumento"/>
                        <w:jc w:val="right"/>
                      </w:pPr>
                      <w:r>
                        <w:t xml:space="preserve"> </w:t>
                      </w:r>
                      <w:r w:rsidR="00113EBF">
                        <w:t>1</w:t>
                      </w:r>
                      <w:r w:rsidR="00F53C18">
                        <w:t>5</w:t>
                      </w:r>
                      <w:r w:rsidR="00044C13">
                        <w:t xml:space="preserve"> gennaio 2025</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12"/>
          <w:footerReference w:type="even" r:id="rId13"/>
          <w:footerReference w:type="default" r:id="rId14"/>
          <w:headerReference w:type="first" r:id="rId15"/>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6"/>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duotone>
                        <a:schemeClr val="accent3">
                          <a:shade val="45000"/>
                          <a:satMod val="135000"/>
                        </a:schemeClr>
                        <a:prstClr val="white"/>
                      </a:duotone>
                      <a:alphaModFix amt="46000"/>
                      <a:extLst>
                        <a:ext uri="{BEBA8EAE-BF5A-486C-A8C5-ECC9F3942E4B}">
                          <a14:imgProps xmlns:a14="http://schemas.microsoft.com/office/drawing/2010/main">
                            <a14:imgLayer r:embed="rId18">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34A770E" w14:textId="1BD6CA73" w:rsidR="0006092D" w:rsidRDefault="00F8628F" w:rsidP="00EE6FB0">
      <w:pPr>
        <w:pStyle w:val="Sommario1"/>
        <w:rPr>
          <w:rFonts w:cstheme="minorBidi"/>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81700842" w:history="1">
        <w:r w:rsidR="0006092D" w:rsidRPr="00330E58">
          <w:rPr>
            <w:rStyle w:val="Collegamentoipertestuale"/>
          </w:rPr>
          <w:t>Presentazione</w:t>
        </w:r>
        <w:r w:rsidR="0006092D">
          <w:rPr>
            <w:webHidden/>
          </w:rPr>
          <w:tab/>
        </w:r>
        <w:r w:rsidR="0006092D">
          <w:rPr>
            <w:webHidden/>
          </w:rPr>
          <w:fldChar w:fldCharType="begin"/>
        </w:r>
        <w:r w:rsidR="0006092D">
          <w:rPr>
            <w:webHidden/>
          </w:rPr>
          <w:instrText xml:space="preserve"> PAGEREF _Toc181700842 \h </w:instrText>
        </w:r>
        <w:r w:rsidR="0006092D">
          <w:rPr>
            <w:webHidden/>
          </w:rPr>
        </w:r>
        <w:r w:rsidR="0006092D">
          <w:rPr>
            <w:webHidden/>
          </w:rPr>
          <w:fldChar w:fldCharType="separate"/>
        </w:r>
        <w:r w:rsidR="003A6841">
          <w:rPr>
            <w:webHidden/>
          </w:rPr>
          <w:t>3</w:t>
        </w:r>
        <w:r w:rsidR="0006092D">
          <w:rPr>
            <w:webHidden/>
          </w:rPr>
          <w:fldChar w:fldCharType="end"/>
        </w:r>
      </w:hyperlink>
    </w:p>
    <w:p w14:paraId="1AC62F80" w14:textId="31D205B0" w:rsidR="0006092D" w:rsidRDefault="0006092D" w:rsidP="00EE6FB0">
      <w:pPr>
        <w:pStyle w:val="Sommario1"/>
        <w:rPr>
          <w:rFonts w:cstheme="minorBidi"/>
          <w:color w:val="auto"/>
          <w:kern w:val="2"/>
          <w:sz w:val="24"/>
          <w:szCs w:val="24"/>
          <w:lang w:eastAsia="it-IT"/>
          <w14:ligatures w14:val="standardContextual"/>
        </w:rPr>
      </w:pPr>
      <w:hyperlink w:anchor="_Toc181700843" w:history="1">
        <w:r w:rsidRPr="00330E58">
          <w:rPr>
            <w:rStyle w:val="Collegamentoipertestuale"/>
          </w:rPr>
          <w:t>1.</w:t>
        </w:r>
        <w:r>
          <w:rPr>
            <w:rFonts w:cstheme="minorBidi"/>
            <w:color w:val="auto"/>
            <w:kern w:val="2"/>
            <w:sz w:val="24"/>
            <w:szCs w:val="24"/>
            <w:lang w:eastAsia="it-IT"/>
            <w14:ligatures w14:val="standardContextual"/>
          </w:rPr>
          <w:tab/>
        </w:r>
        <w:r w:rsidRPr="00330E58">
          <w:rPr>
            <w:rStyle w:val="Collegamentoipertestuale"/>
          </w:rPr>
          <w:t>PREMESSA</w:t>
        </w:r>
        <w:r>
          <w:rPr>
            <w:webHidden/>
          </w:rPr>
          <w:tab/>
        </w:r>
        <w:r>
          <w:rPr>
            <w:webHidden/>
          </w:rPr>
          <w:fldChar w:fldCharType="begin"/>
        </w:r>
        <w:r>
          <w:rPr>
            <w:webHidden/>
          </w:rPr>
          <w:instrText xml:space="preserve"> PAGEREF _Toc181700843 \h </w:instrText>
        </w:r>
        <w:r>
          <w:rPr>
            <w:webHidden/>
          </w:rPr>
        </w:r>
        <w:r>
          <w:rPr>
            <w:webHidden/>
          </w:rPr>
          <w:fldChar w:fldCharType="separate"/>
        </w:r>
        <w:r w:rsidR="003A6841">
          <w:rPr>
            <w:webHidden/>
          </w:rPr>
          <w:t>6</w:t>
        </w:r>
        <w:r>
          <w:rPr>
            <w:webHidden/>
          </w:rPr>
          <w:fldChar w:fldCharType="end"/>
        </w:r>
      </w:hyperlink>
    </w:p>
    <w:p w14:paraId="40190C0E" w14:textId="4F4F2B0E" w:rsidR="0006092D" w:rsidRDefault="0006092D" w:rsidP="00EE6FB0">
      <w:pPr>
        <w:pStyle w:val="Sommario1"/>
        <w:rPr>
          <w:rFonts w:cstheme="minorBidi"/>
          <w:color w:val="auto"/>
          <w:kern w:val="2"/>
          <w:sz w:val="24"/>
          <w:szCs w:val="24"/>
          <w:lang w:eastAsia="it-IT"/>
          <w14:ligatures w14:val="standardContextual"/>
        </w:rPr>
      </w:pPr>
      <w:hyperlink w:anchor="_Toc181700844" w:history="1">
        <w:r w:rsidRPr="00330E58">
          <w:rPr>
            <w:rStyle w:val="Collegamentoipertestuale"/>
          </w:rPr>
          <w:t>2. NOTIZIE GENERALI SULL’ENTE</w:t>
        </w:r>
        <w:r>
          <w:rPr>
            <w:webHidden/>
          </w:rPr>
          <w:tab/>
        </w:r>
        <w:r>
          <w:rPr>
            <w:webHidden/>
          </w:rPr>
          <w:fldChar w:fldCharType="begin"/>
        </w:r>
        <w:r>
          <w:rPr>
            <w:webHidden/>
          </w:rPr>
          <w:instrText xml:space="preserve"> PAGEREF _Toc181700844 \h </w:instrText>
        </w:r>
        <w:r>
          <w:rPr>
            <w:webHidden/>
          </w:rPr>
        </w:r>
        <w:r>
          <w:rPr>
            <w:webHidden/>
          </w:rPr>
          <w:fldChar w:fldCharType="separate"/>
        </w:r>
        <w:r w:rsidR="003A6841">
          <w:rPr>
            <w:webHidden/>
          </w:rPr>
          <w:t>6</w:t>
        </w:r>
        <w:r>
          <w:rPr>
            <w:webHidden/>
          </w:rPr>
          <w:fldChar w:fldCharType="end"/>
        </w:r>
      </w:hyperlink>
    </w:p>
    <w:p w14:paraId="1BF044AA" w14:textId="12C3C958" w:rsidR="0006092D" w:rsidRDefault="0006092D" w:rsidP="00EE6FB0">
      <w:pPr>
        <w:pStyle w:val="Sommario1"/>
        <w:rPr>
          <w:rFonts w:cstheme="minorBidi"/>
          <w:color w:val="auto"/>
          <w:kern w:val="2"/>
          <w:sz w:val="24"/>
          <w:szCs w:val="24"/>
          <w:lang w:eastAsia="it-IT"/>
          <w14:ligatures w14:val="standardContextual"/>
        </w:rPr>
      </w:pPr>
      <w:hyperlink w:anchor="_Toc181700845" w:history="1">
        <w:r w:rsidRPr="00330E58">
          <w:rPr>
            <w:rStyle w:val="Collegamentoipertestuale"/>
          </w:rPr>
          <w:t>3. DOMANDE PRELIMINARI</w:t>
        </w:r>
        <w:r>
          <w:rPr>
            <w:webHidden/>
          </w:rPr>
          <w:tab/>
        </w:r>
        <w:r>
          <w:rPr>
            <w:webHidden/>
          </w:rPr>
          <w:fldChar w:fldCharType="begin"/>
        </w:r>
        <w:r>
          <w:rPr>
            <w:webHidden/>
          </w:rPr>
          <w:instrText xml:space="preserve"> PAGEREF _Toc181700845 \h </w:instrText>
        </w:r>
        <w:r>
          <w:rPr>
            <w:webHidden/>
          </w:rPr>
        </w:r>
        <w:r>
          <w:rPr>
            <w:webHidden/>
          </w:rPr>
          <w:fldChar w:fldCharType="separate"/>
        </w:r>
        <w:r w:rsidR="003A6841">
          <w:rPr>
            <w:webHidden/>
          </w:rPr>
          <w:t>7</w:t>
        </w:r>
        <w:r>
          <w:rPr>
            <w:webHidden/>
          </w:rPr>
          <w:fldChar w:fldCharType="end"/>
        </w:r>
      </w:hyperlink>
    </w:p>
    <w:p w14:paraId="6B86DD7C" w14:textId="54DF9954" w:rsidR="0006092D" w:rsidRDefault="0006092D" w:rsidP="00EE6FB0">
      <w:pPr>
        <w:pStyle w:val="Sommario1"/>
        <w:rPr>
          <w:rFonts w:cstheme="minorBidi"/>
          <w:color w:val="auto"/>
          <w:kern w:val="2"/>
          <w:sz w:val="24"/>
          <w:szCs w:val="24"/>
          <w:lang w:eastAsia="it-IT"/>
          <w14:ligatures w14:val="standardContextual"/>
        </w:rPr>
      </w:pPr>
      <w:hyperlink w:anchor="_Toc181700846" w:history="1">
        <w:r w:rsidRPr="00330E58">
          <w:rPr>
            <w:rStyle w:val="Collegamentoipertestuale"/>
          </w:rPr>
          <w:t>4. VERIFICHE SULLA PROGRAMMAZIONE</w:t>
        </w:r>
        <w:r>
          <w:rPr>
            <w:webHidden/>
          </w:rPr>
          <w:tab/>
        </w:r>
        <w:r>
          <w:rPr>
            <w:webHidden/>
          </w:rPr>
          <w:fldChar w:fldCharType="begin"/>
        </w:r>
        <w:r>
          <w:rPr>
            <w:webHidden/>
          </w:rPr>
          <w:instrText xml:space="preserve"> PAGEREF _Toc181700846 \h </w:instrText>
        </w:r>
        <w:r>
          <w:rPr>
            <w:webHidden/>
          </w:rPr>
        </w:r>
        <w:r>
          <w:rPr>
            <w:webHidden/>
          </w:rPr>
          <w:fldChar w:fldCharType="separate"/>
        </w:r>
        <w:r w:rsidR="003A6841">
          <w:rPr>
            <w:webHidden/>
          </w:rPr>
          <w:t>8</w:t>
        </w:r>
        <w:r>
          <w:rPr>
            <w:webHidden/>
          </w:rPr>
          <w:fldChar w:fldCharType="end"/>
        </w:r>
      </w:hyperlink>
    </w:p>
    <w:p w14:paraId="2FEBD2F0" w14:textId="50A37B5B" w:rsidR="0006092D" w:rsidRDefault="0006092D" w:rsidP="00EE6FB0">
      <w:pPr>
        <w:pStyle w:val="Sommario1"/>
        <w:rPr>
          <w:rFonts w:cstheme="minorBidi"/>
          <w:color w:val="auto"/>
          <w:kern w:val="2"/>
          <w:sz w:val="24"/>
          <w:szCs w:val="24"/>
          <w:lang w:eastAsia="it-IT"/>
          <w14:ligatures w14:val="standardContextual"/>
        </w:rPr>
      </w:pPr>
      <w:hyperlink w:anchor="_Toc181700847" w:history="1">
        <w:r w:rsidRPr="00330E58">
          <w:rPr>
            <w:rStyle w:val="Collegamentoipertestuale"/>
          </w:rPr>
          <w:t>5. LA GESTIONE DEGLI ESERCIZI 2023 E 2024</w:t>
        </w:r>
        <w:r>
          <w:rPr>
            <w:webHidden/>
          </w:rPr>
          <w:tab/>
        </w:r>
        <w:r>
          <w:rPr>
            <w:webHidden/>
          </w:rPr>
          <w:fldChar w:fldCharType="begin"/>
        </w:r>
        <w:r>
          <w:rPr>
            <w:webHidden/>
          </w:rPr>
          <w:instrText xml:space="preserve"> PAGEREF _Toc181700847 \h </w:instrText>
        </w:r>
        <w:r>
          <w:rPr>
            <w:webHidden/>
          </w:rPr>
        </w:r>
        <w:r>
          <w:rPr>
            <w:webHidden/>
          </w:rPr>
          <w:fldChar w:fldCharType="separate"/>
        </w:r>
        <w:r w:rsidR="003A6841">
          <w:rPr>
            <w:webHidden/>
          </w:rPr>
          <w:t>10</w:t>
        </w:r>
        <w:r>
          <w:rPr>
            <w:webHidden/>
          </w:rPr>
          <w:fldChar w:fldCharType="end"/>
        </w:r>
      </w:hyperlink>
    </w:p>
    <w:p w14:paraId="05080274" w14:textId="2BD4EDF3" w:rsidR="0006092D" w:rsidRDefault="0006092D" w:rsidP="00EE6FB0">
      <w:pPr>
        <w:pStyle w:val="Sommario1"/>
        <w:rPr>
          <w:rFonts w:cstheme="minorBidi"/>
          <w:color w:val="auto"/>
          <w:kern w:val="2"/>
          <w:sz w:val="24"/>
          <w:szCs w:val="24"/>
          <w:lang w:eastAsia="it-IT"/>
          <w14:ligatures w14:val="standardContextual"/>
        </w:rPr>
      </w:pPr>
      <w:hyperlink w:anchor="_Toc181700848" w:history="1">
        <w:r w:rsidRPr="00330E58">
          <w:rPr>
            <w:rStyle w:val="Collegamentoipertestuale"/>
            <w:i/>
            <w:iCs/>
          </w:rPr>
          <w:t>5.1 Debiti fuori bilancio</w:t>
        </w:r>
        <w:r>
          <w:rPr>
            <w:webHidden/>
          </w:rPr>
          <w:tab/>
        </w:r>
        <w:r>
          <w:rPr>
            <w:webHidden/>
          </w:rPr>
          <w:fldChar w:fldCharType="begin"/>
        </w:r>
        <w:r>
          <w:rPr>
            <w:webHidden/>
          </w:rPr>
          <w:instrText xml:space="preserve"> PAGEREF _Toc181700848 \h </w:instrText>
        </w:r>
        <w:r>
          <w:rPr>
            <w:webHidden/>
          </w:rPr>
        </w:r>
        <w:r>
          <w:rPr>
            <w:webHidden/>
          </w:rPr>
          <w:fldChar w:fldCharType="separate"/>
        </w:r>
        <w:r w:rsidR="003A6841">
          <w:rPr>
            <w:webHidden/>
          </w:rPr>
          <w:t>11</w:t>
        </w:r>
        <w:r>
          <w:rPr>
            <w:webHidden/>
          </w:rPr>
          <w:fldChar w:fldCharType="end"/>
        </w:r>
      </w:hyperlink>
    </w:p>
    <w:p w14:paraId="1F52D7A3" w14:textId="16A7FED0" w:rsidR="0006092D" w:rsidRDefault="0006092D" w:rsidP="00EE6FB0">
      <w:pPr>
        <w:pStyle w:val="Sommario1"/>
        <w:rPr>
          <w:rFonts w:cstheme="minorBidi"/>
          <w:color w:val="auto"/>
          <w:kern w:val="2"/>
          <w:sz w:val="24"/>
          <w:szCs w:val="24"/>
          <w:lang w:eastAsia="it-IT"/>
          <w14:ligatures w14:val="standardContextual"/>
        </w:rPr>
      </w:pPr>
      <w:hyperlink w:anchor="_Toc181700849" w:history="1">
        <w:r w:rsidRPr="00330E58">
          <w:rPr>
            <w:rStyle w:val="Collegamentoipertestuale"/>
            <w:rFonts w:ascii="Calibri" w:eastAsiaTheme="majorEastAsia" w:hAnsi="Calibri" w:cs="Times New Roman (Titoli CS)"/>
            <w:b/>
            <w:i/>
            <w:iCs/>
          </w:rPr>
          <w:t>5.2  Enti in disavanzo</w:t>
        </w:r>
        <w:r w:rsidRPr="00330E58">
          <w:rPr>
            <w:rStyle w:val="Collegamentoipertestuale"/>
            <w:rFonts w:ascii="Calibri" w:eastAsiaTheme="majorEastAsia" w:hAnsi="Calibri" w:cs="Times New Roman (Titoli CS)"/>
            <w:b/>
          </w:rPr>
          <w:t xml:space="preserve"> </w:t>
        </w:r>
        <w:r w:rsidRPr="00330E58">
          <w:rPr>
            <w:rStyle w:val="Collegamentoipertestuale"/>
            <w:rFonts w:ascii="Arial" w:eastAsia="Arial" w:hAnsi="Arial" w:cs="Arial"/>
            <w:i/>
            <w:iCs/>
          </w:rPr>
          <w:t>(da compilare solo se ricorre la fattispecie)</w:t>
        </w:r>
        <w:r>
          <w:rPr>
            <w:webHidden/>
          </w:rPr>
          <w:tab/>
        </w:r>
        <w:r>
          <w:rPr>
            <w:webHidden/>
          </w:rPr>
          <w:fldChar w:fldCharType="begin"/>
        </w:r>
        <w:r>
          <w:rPr>
            <w:webHidden/>
          </w:rPr>
          <w:instrText xml:space="preserve"> PAGEREF _Toc181700849 \h </w:instrText>
        </w:r>
        <w:r>
          <w:rPr>
            <w:webHidden/>
          </w:rPr>
        </w:r>
        <w:r>
          <w:rPr>
            <w:webHidden/>
          </w:rPr>
          <w:fldChar w:fldCharType="separate"/>
        </w:r>
        <w:r w:rsidR="003A6841">
          <w:rPr>
            <w:webHidden/>
          </w:rPr>
          <w:t>11</w:t>
        </w:r>
        <w:r>
          <w:rPr>
            <w:webHidden/>
          </w:rPr>
          <w:fldChar w:fldCharType="end"/>
        </w:r>
      </w:hyperlink>
    </w:p>
    <w:p w14:paraId="4827443B" w14:textId="1C5E7A41" w:rsidR="0006092D" w:rsidRDefault="0006092D" w:rsidP="00EE6FB0">
      <w:pPr>
        <w:pStyle w:val="Sommario1"/>
        <w:rPr>
          <w:rFonts w:cstheme="minorBidi"/>
          <w:color w:val="auto"/>
          <w:kern w:val="2"/>
          <w:sz w:val="24"/>
          <w:szCs w:val="24"/>
          <w:lang w:eastAsia="it-IT"/>
          <w14:ligatures w14:val="standardContextual"/>
        </w:rPr>
      </w:pPr>
      <w:hyperlink w:anchor="_Toc181700850" w:history="1">
        <w:r w:rsidRPr="00330E58">
          <w:rPr>
            <w:rStyle w:val="Collegamentoipertestuale"/>
          </w:rPr>
          <w:t>6. BILANCIO DI PREVISIONE 2025-2027</w:t>
        </w:r>
        <w:r>
          <w:rPr>
            <w:webHidden/>
          </w:rPr>
          <w:tab/>
        </w:r>
        <w:r>
          <w:rPr>
            <w:webHidden/>
          </w:rPr>
          <w:fldChar w:fldCharType="begin"/>
        </w:r>
        <w:r>
          <w:rPr>
            <w:webHidden/>
          </w:rPr>
          <w:instrText xml:space="preserve"> PAGEREF _Toc181700850 \h </w:instrText>
        </w:r>
        <w:r>
          <w:rPr>
            <w:webHidden/>
          </w:rPr>
        </w:r>
        <w:r>
          <w:rPr>
            <w:webHidden/>
          </w:rPr>
          <w:fldChar w:fldCharType="separate"/>
        </w:r>
        <w:r w:rsidR="003A6841">
          <w:rPr>
            <w:webHidden/>
          </w:rPr>
          <w:t>13</w:t>
        </w:r>
        <w:r>
          <w:rPr>
            <w:webHidden/>
          </w:rPr>
          <w:fldChar w:fldCharType="end"/>
        </w:r>
      </w:hyperlink>
    </w:p>
    <w:p w14:paraId="2571783B" w14:textId="4A2AECF7" w:rsidR="0006092D" w:rsidRDefault="0006092D" w:rsidP="00EE6FB0">
      <w:pPr>
        <w:pStyle w:val="Sommario1"/>
        <w:rPr>
          <w:rFonts w:cstheme="minorBidi"/>
          <w:color w:val="auto"/>
          <w:kern w:val="2"/>
          <w:sz w:val="24"/>
          <w:szCs w:val="24"/>
          <w:lang w:eastAsia="it-IT"/>
          <w14:ligatures w14:val="standardContextual"/>
        </w:rPr>
      </w:pPr>
      <w:hyperlink w:anchor="_Toc181700851" w:history="1">
        <w:r w:rsidRPr="00330E58">
          <w:rPr>
            <w:rStyle w:val="Collegamentoipertestuale"/>
            <w:rFonts w:ascii="Calibri" w:eastAsiaTheme="majorEastAsia" w:hAnsi="Calibri" w:cs="Times New Roman (Titoli CS)"/>
            <w:b/>
            <w:i/>
            <w:iCs/>
          </w:rPr>
          <w:t>6.1.Fondo pluriennale vincolato (FPV)</w:t>
        </w:r>
        <w:r>
          <w:rPr>
            <w:webHidden/>
          </w:rPr>
          <w:tab/>
        </w:r>
        <w:r>
          <w:rPr>
            <w:webHidden/>
          </w:rPr>
          <w:fldChar w:fldCharType="begin"/>
        </w:r>
        <w:r>
          <w:rPr>
            <w:webHidden/>
          </w:rPr>
          <w:instrText xml:space="preserve"> PAGEREF _Toc181700851 \h </w:instrText>
        </w:r>
        <w:r>
          <w:rPr>
            <w:webHidden/>
          </w:rPr>
        </w:r>
        <w:r>
          <w:rPr>
            <w:webHidden/>
          </w:rPr>
          <w:fldChar w:fldCharType="separate"/>
        </w:r>
        <w:r w:rsidR="003A6841">
          <w:rPr>
            <w:webHidden/>
          </w:rPr>
          <w:t>13</w:t>
        </w:r>
        <w:r>
          <w:rPr>
            <w:webHidden/>
          </w:rPr>
          <w:fldChar w:fldCharType="end"/>
        </w:r>
      </w:hyperlink>
    </w:p>
    <w:p w14:paraId="0D1E3F63" w14:textId="40114D1C" w:rsidR="0006092D" w:rsidRDefault="0006092D" w:rsidP="00EE6FB0">
      <w:pPr>
        <w:pStyle w:val="Sommario1"/>
        <w:rPr>
          <w:rFonts w:cstheme="minorBidi"/>
          <w:color w:val="auto"/>
          <w:kern w:val="2"/>
          <w:sz w:val="24"/>
          <w:szCs w:val="24"/>
          <w:lang w:eastAsia="it-IT"/>
          <w14:ligatures w14:val="standardContextual"/>
        </w:rPr>
      </w:pPr>
      <w:hyperlink w:anchor="_Toc181700852" w:history="1">
        <w:r w:rsidRPr="00330E58">
          <w:rPr>
            <w:rStyle w:val="Collegamentoipertestuale"/>
            <w:rFonts w:ascii="Calibri" w:eastAsiaTheme="majorEastAsia" w:hAnsi="Calibri" w:cs="Times New Roman (Titoli CS)"/>
            <w:b/>
            <w:i/>
            <w:iCs/>
          </w:rPr>
          <w:t>6.2 FAL – Fondo anticipazione liquidità</w:t>
        </w:r>
        <w:r>
          <w:rPr>
            <w:webHidden/>
          </w:rPr>
          <w:tab/>
        </w:r>
        <w:r>
          <w:rPr>
            <w:webHidden/>
          </w:rPr>
          <w:fldChar w:fldCharType="begin"/>
        </w:r>
        <w:r>
          <w:rPr>
            <w:webHidden/>
          </w:rPr>
          <w:instrText xml:space="preserve"> PAGEREF _Toc181700852 \h </w:instrText>
        </w:r>
        <w:r>
          <w:rPr>
            <w:webHidden/>
          </w:rPr>
        </w:r>
        <w:r>
          <w:rPr>
            <w:webHidden/>
          </w:rPr>
          <w:fldChar w:fldCharType="separate"/>
        </w:r>
        <w:r w:rsidR="003A6841">
          <w:rPr>
            <w:webHidden/>
          </w:rPr>
          <w:t>14</w:t>
        </w:r>
        <w:r>
          <w:rPr>
            <w:webHidden/>
          </w:rPr>
          <w:fldChar w:fldCharType="end"/>
        </w:r>
      </w:hyperlink>
    </w:p>
    <w:p w14:paraId="5C72652C" w14:textId="37AFF59F" w:rsidR="0006092D" w:rsidRDefault="0006092D" w:rsidP="00EE6FB0">
      <w:pPr>
        <w:pStyle w:val="Sommario1"/>
        <w:rPr>
          <w:rFonts w:cstheme="minorBidi"/>
          <w:color w:val="auto"/>
          <w:kern w:val="2"/>
          <w:sz w:val="24"/>
          <w:szCs w:val="24"/>
          <w:lang w:eastAsia="it-IT"/>
          <w14:ligatures w14:val="standardContextual"/>
        </w:rPr>
      </w:pPr>
      <w:hyperlink w:anchor="_Toc181700853" w:history="1">
        <w:r w:rsidRPr="00330E58">
          <w:rPr>
            <w:rStyle w:val="Collegamentoipertestuale"/>
            <w:rFonts w:ascii="Calibri" w:eastAsiaTheme="majorEastAsia" w:hAnsi="Calibri" w:cs="Times New Roman (Titoli CS)"/>
            <w:b/>
            <w:i/>
            <w:iCs/>
          </w:rPr>
          <w:t>6.3. Equilibri di bilancio</w:t>
        </w:r>
        <w:r>
          <w:rPr>
            <w:webHidden/>
          </w:rPr>
          <w:tab/>
        </w:r>
        <w:r>
          <w:rPr>
            <w:webHidden/>
          </w:rPr>
          <w:fldChar w:fldCharType="begin"/>
        </w:r>
        <w:r>
          <w:rPr>
            <w:webHidden/>
          </w:rPr>
          <w:instrText xml:space="preserve"> PAGEREF _Toc181700853 \h </w:instrText>
        </w:r>
        <w:r>
          <w:rPr>
            <w:webHidden/>
          </w:rPr>
        </w:r>
        <w:r>
          <w:rPr>
            <w:webHidden/>
          </w:rPr>
          <w:fldChar w:fldCharType="separate"/>
        </w:r>
        <w:r w:rsidR="003A6841">
          <w:rPr>
            <w:webHidden/>
          </w:rPr>
          <w:t>15</w:t>
        </w:r>
        <w:r>
          <w:rPr>
            <w:webHidden/>
          </w:rPr>
          <w:fldChar w:fldCharType="end"/>
        </w:r>
      </w:hyperlink>
    </w:p>
    <w:p w14:paraId="2BA02945" w14:textId="30B0F516" w:rsidR="0006092D" w:rsidRDefault="0006092D" w:rsidP="00EE6FB0">
      <w:pPr>
        <w:pStyle w:val="Sommario1"/>
        <w:rPr>
          <w:rFonts w:cstheme="minorBidi"/>
          <w:color w:val="auto"/>
          <w:kern w:val="2"/>
          <w:sz w:val="24"/>
          <w:szCs w:val="24"/>
          <w:lang w:eastAsia="it-IT"/>
          <w14:ligatures w14:val="standardContextual"/>
        </w:rPr>
      </w:pPr>
      <w:hyperlink w:anchor="_Toc181700854" w:history="1">
        <w:r w:rsidRPr="00330E58">
          <w:rPr>
            <w:rStyle w:val="Collegamentoipertestuale"/>
            <w:rFonts w:ascii="Calibri" w:eastAsiaTheme="majorEastAsia" w:hAnsi="Calibri" w:cs="Times New Roman (Titoli CS)"/>
            <w:b/>
            <w:i/>
            <w:iCs/>
          </w:rPr>
          <w:t>6.4. Previsioni di cassa</w:t>
        </w:r>
        <w:r>
          <w:rPr>
            <w:webHidden/>
          </w:rPr>
          <w:tab/>
        </w:r>
        <w:r>
          <w:rPr>
            <w:webHidden/>
          </w:rPr>
          <w:fldChar w:fldCharType="begin"/>
        </w:r>
        <w:r>
          <w:rPr>
            <w:webHidden/>
          </w:rPr>
          <w:instrText xml:space="preserve"> PAGEREF _Toc181700854 \h </w:instrText>
        </w:r>
        <w:r>
          <w:rPr>
            <w:webHidden/>
          </w:rPr>
        </w:r>
        <w:r>
          <w:rPr>
            <w:webHidden/>
          </w:rPr>
          <w:fldChar w:fldCharType="separate"/>
        </w:r>
        <w:r w:rsidR="003A6841">
          <w:rPr>
            <w:webHidden/>
          </w:rPr>
          <w:t>17</w:t>
        </w:r>
        <w:r>
          <w:rPr>
            <w:webHidden/>
          </w:rPr>
          <w:fldChar w:fldCharType="end"/>
        </w:r>
      </w:hyperlink>
    </w:p>
    <w:p w14:paraId="3A5BFF34" w14:textId="1B97CBD9" w:rsidR="0006092D" w:rsidRDefault="0006092D" w:rsidP="00EE6FB0">
      <w:pPr>
        <w:pStyle w:val="Sommario1"/>
        <w:rPr>
          <w:rFonts w:cstheme="minorBidi"/>
          <w:color w:val="auto"/>
          <w:kern w:val="2"/>
          <w:sz w:val="24"/>
          <w:szCs w:val="24"/>
          <w:lang w:eastAsia="it-IT"/>
          <w14:ligatures w14:val="standardContextual"/>
        </w:rPr>
      </w:pPr>
      <w:hyperlink w:anchor="_Toc181700855" w:history="1">
        <w:r w:rsidRPr="00330E58">
          <w:rPr>
            <w:rStyle w:val="Collegamentoipertestuale"/>
            <w:rFonts w:ascii="Calibri" w:eastAsiaTheme="majorEastAsia" w:hAnsi="Calibri" w:cs="Times New Roman (Titoli CS)"/>
            <w:b/>
            <w:i/>
            <w:iCs/>
          </w:rPr>
          <w:t>6.5. Utilizzo proventi alienazioni</w:t>
        </w:r>
        <w:r>
          <w:rPr>
            <w:webHidden/>
          </w:rPr>
          <w:tab/>
        </w:r>
        <w:r>
          <w:rPr>
            <w:webHidden/>
          </w:rPr>
          <w:fldChar w:fldCharType="begin"/>
        </w:r>
        <w:r>
          <w:rPr>
            <w:webHidden/>
          </w:rPr>
          <w:instrText xml:space="preserve"> PAGEREF _Toc181700855 \h </w:instrText>
        </w:r>
        <w:r>
          <w:rPr>
            <w:webHidden/>
          </w:rPr>
        </w:r>
        <w:r>
          <w:rPr>
            <w:webHidden/>
          </w:rPr>
          <w:fldChar w:fldCharType="separate"/>
        </w:r>
        <w:r w:rsidR="003A6841">
          <w:rPr>
            <w:webHidden/>
          </w:rPr>
          <w:t>20</w:t>
        </w:r>
        <w:r>
          <w:rPr>
            <w:webHidden/>
          </w:rPr>
          <w:fldChar w:fldCharType="end"/>
        </w:r>
      </w:hyperlink>
    </w:p>
    <w:p w14:paraId="765A3E23" w14:textId="78309ACB" w:rsidR="0006092D" w:rsidRDefault="0006092D" w:rsidP="00EE6FB0">
      <w:pPr>
        <w:pStyle w:val="Sommario1"/>
        <w:rPr>
          <w:rFonts w:cstheme="minorBidi"/>
          <w:color w:val="auto"/>
          <w:kern w:val="2"/>
          <w:sz w:val="24"/>
          <w:szCs w:val="24"/>
          <w:lang w:eastAsia="it-IT"/>
          <w14:ligatures w14:val="standardContextual"/>
        </w:rPr>
      </w:pPr>
      <w:hyperlink w:anchor="_Toc181700856" w:history="1">
        <w:r w:rsidRPr="00330E58">
          <w:rPr>
            <w:rStyle w:val="Collegamentoipertestuale"/>
            <w:rFonts w:ascii="Calibri" w:eastAsiaTheme="majorEastAsia" w:hAnsi="Calibri" w:cs="Times New Roman (Titoli CS)"/>
            <w:b/>
            <w:i/>
            <w:iCs/>
          </w:rPr>
          <w:t>6.6. Risorse derivanti da rinegoziazione mutui</w:t>
        </w:r>
        <w:r>
          <w:rPr>
            <w:webHidden/>
          </w:rPr>
          <w:tab/>
        </w:r>
        <w:r>
          <w:rPr>
            <w:webHidden/>
          </w:rPr>
          <w:fldChar w:fldCharType="begin"/>
        </w:r>
        <w:r>
          <w:rPr>
            <w:webHidden/>
          </w:rPr>
          <w:instrText xml:space="preserve"> PAGEREF _Toc181700856 \h </w:instrText>
        </w:r>
        <w:r>
          <w:rPr>
            <w:webHidden/>
          </w:rPr>
        </w:r>
        <w:r>
          <w:rPr>
            <w:webHidden/>
          </w:rPr>
          <w:fldChar w:fldCharType="separate"/>
        </w:r>
        <w:r w:rsidR="003A6841">
          <w:rPr>
            <w:webHidden/>
          </w:rPr>
          <w:t>21</w:t>
        </w:r>
        <w:r>
          <w:rPr>
            <w:webHidden/>
          </w:rPr>
          <w:fldChar w:fldCharType="end"/>
        </w:r>
      </w:hyperlink>
    </w:p>
    <w:p w14:paraId="7F0EB328" w14:textId="40304693" w:rsidR="0006092D" w:rsidRDefault="0006092D" w:rsidP="00EE6FB0">
      <w:pPr>
        <w:pStyle w:val="Sommario1"/>
        <w:rPr>
          <w:rFonts w:cstheme="minorBidi"/>
          <w:color w:val="auto"/>
          <w:kern w:val="2"/>
          <w:sz w:val="24"/>
          <w:szCs w:val="24"/>
          <w:lang w:eastAsia="it-IT"/>
          <w14:ligatures w14:val="standardContextual"/>
        </w:rPr>
      </w:pPr>
      <w:hyperlink w:anchor="_Toc181700857" w:history="1">
        <w:r w:rsidRPr="00330E58">
          <w:rPr>
            <w:rStyle w:val="Collegamentoipertestuale"/>
            <w:rFonts w:ascii="Calibri" w:eastAsiaTheme="majorEastAsia" w:hAnsi="Calibri" w:cs="Times New Roman (Titoli CS)"/>
            <w:b/>
            <w:i/>
            <w:iCs/>
          </w:rPr>
          <w:t>6.7. Entrate e spese di carattere non ripetitivo</w:t>
        </w:r>
        <w:r>
          <w:rPr>
            <w:webHidden/>
          </w:rPr>
          <w:tab/>
        </w:r>
        <w:r>
          <w:rPr>
            <w:webHidden/>
          </w:rPr>
          <w:fldChar w:fldCharType="begin"/>
        </w:r>
        <w:r>
          <w:rPr>
            <w:webHidden/>
          </w:rPr>
          <w:instrText xml:space="preserve"> PAGEREF _Toc181700857 \h </w:instrText>
        </w:r>
        <w:r>
          <w:rPr>
            <w:webHidden/>
          </w:rPr>
        </w:r>
        <w:r>
          <w:rPr>
            <w:webHidden/>
          </w:rPr>
          <w:fldChar w:fldCharType="separate"/>
        </w:r>
        <w:r w:rsidR="003A6841">
          <w:rPr>
            <w:webHidden/>
          </w:rPr>
          <w:t>21</w:t>
        </w:r>
        <w:r>
          <w:rPr>
            <w:webHidden/>
          </w:rPr>
          <w:fldChar w:fldCharType="end"/>
        </w:r>
      </w:hyperlink>
    </w:p>
    <w:p w14:paraId="71FBFBD7" w14:textId="6B2CBB04" w:rsidR="0006092D" w:rsidRDefault="0006092D" w:rsidP="00EE6FB0">
      <w:pPr>
        <w:pStyle w:val="Sommario1"/>
        <w:rPr>
          <w:rFonts w:cstheme="minorBidi"/>
          <w:color w:val="auto"/>
          <w:kern w:val="2"/>
          <w:sz w:val="24"/>
          <w:szCs w:val="24"/>
          <w:lang w:eastAsia="it-IT"/>
          <w14:ligatures w14:val="standardContextual"/>
        </w:rPr>
      </w:pPr>
      <w:hyperlink w:anchor="_Toc181700858" w:history="1">
        <w:r w:rsidRPr="00330E58">
          <w:rPr>
            <w:rStyle w:val="Collegamentoipertestuale"/>
            <w:rFonts w:ascii="Calibri" w:eastAsiaTheme="majorEastAsia" w:hAnsi="Calibri" w:cs="Times New Roman (Titoli CS)"/>
            <w:b/>
            <w:i/>
            <w:iCs/>
          </w:rPr>
          <w:t>6.8. Nota integrativa</w:t>
        </w:r>
        <w:r>
          <w:rPr>
            <w:webHidden/>
          </w:rPr>
          <w:tab/>
        </w:r>
        <w:r>
          <w:rPr>
            <w:webHidden/>
          </w:rPr>
          <w:fldChar w:fldCharType="begin"/>
        </w:r>
        <w:r>
          <w:rPr>
            <w:webHidden/>
          </w:rPr>
          <w:instrText xml:space="preserve"> PAGEREF _Toc181700858 \h </w:instrText>
        </w:r>
        <w:r>
          <w:rPr>
            <w:webHidden/>
          </w:rPr>
        </w:r>
        <w:r>
          <w:rPr>
            <w:webHidden/>
          </w:rPr>
          <w:fldChar w:fldCharType="separate"/>
        </w:r>
        <w:r w:rsidR="003A6841">
          <w:rPr>
            <w:webHidden/>
          </w:rPr>
          <w:t>21</w:t>
        </w:r>
        <w:r>
          <w:rPr>
            <w:webHidden/>
          </w:rPr>
          <w:fldChar w:fldCharType="end"/>
        </w:r>
      </w:hyperlink>
    </w:p>
    <w:p w14:paraId="6AF9601D" w14:textId="1F4F4E4E" w:rsidR="0006092D" w:rsidRDefault="0006092D" w:rsidP="00EE6FB0">
      <w:pPr>
        <w:pStyle w:val="Sommario1"/>
        <w:rPr>
          <w:rFonts w:cstheme="minorBidi"/>
          <w:color w:val="auto"/>
          <w:kern w:val="2"/>
          <w:sz w:val="24"/>
          <w:szCs w:val="24"/>
          <w:lang w:eastAsia="it-IT"/>
          <w14:ligatures w14:val="standardContextual"/>
        </w:rPr>
      </w:pPr>
      <w:hyperlink w:anchor="_Toc181700859" w:history="1">
        <w:r w:rsidRPr="00330E58">
          <w:rPr>
            <w:rStyle w:val="Collegamentoipertestuale"/>
            <w:rFonts w:ascii="Calibri" w:eastAsiaTheme="majorEastAsia" w:hAnsi="Calibri" w:cs="Times New Roman (Titoli CS)"/>
            <w:b/>
            <w:i/>
            <w:iCs/>
          </w:rPr>
          <w:t>6.9. Conguagli Fondi Covid-19</w:t>
        </w:r>
        <w:r>
          <w:rPr>
            <w:webHidden/>
          </w:rPr>
          <w:tab/>
        </w:r>
        <w:r>
          <w:rPr>
            <w:webHidden/>
          </w:rPr>
          <w:fldChar w:fldCharType="begin"/>
        </w:r>
        <w:r>
          <w:rPr>
            <w:webHidden/>
          </w:rPr>
          <w:instrText xml:space="preserve"> PAGEREF _Toc181700859 \h </w:instrText>
        </w:r>
        <w:r>
          <w:rPr>
            <w:webHidden/>
          </w:rPr>
        </w:r>
        <w:r>
          <w:rPr>
            <w:webHidden/>
          </w:rPr>
          <w:fldChar w:fldCharType="separate"/>
        </w:r>
        <w:r w:rsidR="003A6841">
          <w:rPr>
            <w:webHidden/>
          </w:rPr>
          <w:t>21</w:t>
        </w:r>
        <w:r>
          <w:rPr>
            <w:webHidden/>
          </w:rPr>
          <w:fldChar w:fldCharType="end"/>
        </w:r>
      </w:hyperlink>
    </w:p>
    <w:p w14:paraId="7BE91FDC" w14:textId="4E5A769E" w:rsidR="0006092D" w:rsidRDefault="0006092D" w:rsidP="00EE6FB0">
      <w:pPr>
        <w:pStyle w:val="Sommario1"/>
        <w:rPr>
          <w:rFonts w:cstheme="minorBidi"/>
          <w:color w:val="auto"/>
          <w:kern w:val="2"/>
          <w:sz w:val="24"/>
          <w:szCs w:val="24"/>
          <w:lang w:eastAsia="it-IT"/>
          <w14:ligatures w14:val="standardContextual"/>
        </w:rPr>
      </w:pPr>
      <w:hyperlink w:anchor="_Toc181700860" w:history="1">
        <w:r w:rsidRPr="00330E58">
          <w:rPr>
            <w:rStyle w:val="Collegamentoipertestuale"/>
          </w:rPr>
          <w:t>7. VERIFICA ATTENDIBILITA’ E CONGRUITA’ DELLE PREVISIONI</w:t>
        </w:r>
        <w:r>
          <w:rPr>
            <w:webHidden/>
          </w:rPr>
          <w:tab/>
        </w:r>
        <w:r>
          <w:rPr>
            <w:webHidden/>
          </w:rPr>
          <w:fldChar w:fldCharType="begin"/>
        </w:r>
        <w:r>
          <w:rPr>
            <w:webHidden/>
          </w:rPr>
          <w:instrText xml:space="preserve"> PAGEREF _Toc181700860 \h </w:instrText>
        </w:r>
        <w:r>
          <w:rPr>
            <w:webHidden/>
          </w:rPr>
        </w:r>
        <w:r>
          <w:rPr>
            <w:webHidden/>
          </w:rPr>
          <w:fldChar w:fldCharType="separate"/>
        </w:r>
        <w:r w:rsidR="003A6841">
          <w:rPr>
            <w:webHidden/>
          </w:rPr>
          <w:t>22</w:t>
        </w:r>
        <w:r>
          <w:rPr>
            <w:webHidden/>
          </w:rPr>
          <w:fldChar w:fldCharType="end"/>
        </w:r>
      </w:hyperlink>
    </w:p>
    <w:p w14:paraId="39782758" w14:textId="1249D15F" w:rsidR="0006092D" w:rsidRDefault="0006092D" w:rsidP="00EE6FB0">
      <w:pPr>
        <w:pStyle w:val="Sommario1"/>
        <w:rPr>
          <w:rFonts w:cstheme="minorBidi"/>
          <w:color w:val="auto"/>
          <w:kern w:val="2"/>
          <w:sz w:val="24"/>
          <w:szCs w:val="24"/>
          <w:lang w:eastAsia="it-IT"/>
          <w14:ligatures w14:val="standardContextual"/>
        </w:rPr>
      </w:pPr>
      <w:hyperlink w:anchor="_Toc181700861" w:history="1">
        <w:r w:rsidRPr="00330E58">
          <w:rPr>
            <w:rStyle w:val="Collegamentoipertestuale"/>
            <w:rFonts w:ascii="Calibri" w:eastAsiaTheme="majorEastAsia" w:hAnsi="Calibri" w:cs="Times New Roman (Titoli CS)"/>
            <w:b/>
            <w:i/>
            <w:iCs/>
          </w:rPr>
          <w:t>7.1 Entrate</w:t>
        </w:r>
        <w:r>
          <w:rPr>
            <w:webHidden/>
          </w:rPr>
          <w:tab/>
        </w:r>
        <w:r>
          <w:rPr>
            <w:webHidden/>
          </w:rPr>
          <w:fldChar w:fldCharType="begin"/>
        </w:r>
        <w:r>
          <w:rPr>
            <w:webHidden/>
          </w:rPr>
          <w:instrText xml:space="preserve"> PAGEREF _Toc181700861 \h </w:instrText>
        </w:r>
        <w:r>
          <w:rPr>
            <w:webHidden/>
          </w:rPr>
        </w:r>
        <w:r>
          <w:rPr>
            <w:webHidden/>
          </w:rPr>
          <w:fldChar w:fldCharType="separate"/>
        </w:r>
        <w:r w:rsidR="003A6841">
          <w:rPr>
            <w:webHidden/>
          </w:rPr>
          <w:t>22</w:t>
        </w:r>
        <w:r>
          <w:rPr>
            <w:webHidden/>
          </w:rPr>
          <w:fldChar w:fldCharType="end"/>
        </w:r>
      </w:hyperlink>
    </w:p>
    <w:p w14:paraId="518A2E83" w14:textId="56BF4CD6" w:rsidR="0006092D" w:rsidRDefault="0006092D" w:rsidP="00EE6FB0">
      <w:pPr>
        <w:pStyle w:val="Sommario1"/>
        <w:rPr>
          <w:rFonts w:cstheme="minorBidi"/>
          <w:color w:val="auto"/>
          <w:kern w:val="2"/>
          <w:sz w:val="24"/>
          <w:szCs w:val="24"/>
          <w:lang w:eastAsia="it-IT"/>
          <w14:ligatures w14:val="standardContextual"/>
        </w:rPr>
      </w:pPr>
      <w:hyperlink w:anchor="_Toc181700862" w:history="1">
        <w:r w:rsidRPr="00330E58">
          <w:rPr>
            <w:rStyle w:val="Collegamentoipertestuale"/>
            <w:rFonts w:ascii="Calibri" w:eastAsiaTheme="majorEastAsia" w:hAnsi="Calibri" w:cs="Times New Roman (Titoli CS)"/>
            <w:b/>
            <w:i/>
            <w:iCs/>
          </w:rPr>
          <w:t>7.2 Spese per titoli e macro aggregati</w:t>
        </w:r>
        <w:r>
          <w:rPr>
            <w:webHidden/>
          </w:rPr>
          <w:tab/>
        </w:r>
        <w:r>
          <w:rPr>
            <w:webHidden/>
          </w:rPr>
          <w:fldChar w:fldCharType="begin"/>
        </w:r>
        <w:r>
          <w:rPr>
            <w:webHidden/>
          </w:rPr>
          <w:instrText xml:space="preserve"> PAGEREF _Toc181700862 \h </w:instrText>
        </w:r>
        <w:r>
          <w:rPr>
            <w:webHidden/>
          </w:rPr>
        </w:r>
        <w:r>
          <w:rPr>
            <w:webHidden/>
          </w:rPr>
          <w:fldChar w:fldCharType="separate"/>
        </w:r>
        <w:r w:rsidR="003A6841">
          <w:rPr>
            <w:webHidden/>
          </w:rPr>
          <w:t>27</w:t>
        </w:r>
        <w:r>
          <w:rPr>
            <w:webHidden/>
          </w:rPr>
          <w:fldChar w:fldCharType="end"/>
        </w:r>
      </w:hyperlink>
    </w:p>
    <w:p w14:paraId="3D2745BC" w14:textId="3ABE567D" w:rsidR="0006092D" w:rsidRDefault="0006092D" w:rsidP="00EE6FB0">
      <w:pPr>
        <w:pStyle w:val="Sommario1"/>
        <w:rPr>
          <w:rFonts w:cstheme="minorBidi"/>
          <w:color w:val="auto"/>
          <w:kern w:val="2"/>
          <w:sz w:val="24"/>
          <w:szCs w:val="24"/>
          <w:lang w:eastAsia="it-IT"/>
          <w14:ligatures w14:val="standardContextual"/>
        </w:rPr>
      </w:pPr>
      <w:hyperlink w:anchor="_Toc181700863" w:history="1">
        <w:r w:rsidRPr="00330E58">
          <w:rPr>
            <w:rStyle w:val="Collegamentoipertestuale"/>
            <w:rFonts w:cstheme="minorHAnsi"/>
            <w:b/>
            <w:i/>
            <w:iCs/>
          </w:rPr>
          <w:t>7.3 Spending review</w:t>
        </w:r>
        <w:r>
          <w:rPr>
            <w:webHidden/>
          </w:rPr>
          <w:tab/>
        </w:r>
        <w:r>
          <w:rPr>
            <w:webHidden/>
          </w:rPr>
          <w:fldChar w:fldCharType="begin"/>
        </w:r>
        <w:r>
          <w:rPr>
            <w:webHidden/>
          </w:rPr>
          <w:instrText xml:space="preserve"> PAGEREF _Toc181700863 \h </w:instrText>
        </w:r>
        <w:r>
          <w:rPr>
            <w:webHidden/>
          </w:rPr>
        </w:r>
        <w:r>
          <w:rPr>
            <w:webHidden/>
          </w:rPr>
          <w:fldChar w:fldCharType="separate"/>
        </w:r>
        <w:r w:rsidR="003A6841">
          <w:rPr>
            <w:webHidden/>
          </w:rPr>
          <w:t>29</w:t>
        </w:r>
        <w:r>
          <w:rPr>
            <w:webHidden/>
          </w:rPr>
          <w:fldChar w:fldCharType="end"/>
        </w:r>
      </w:hyperlink>
    </w:p>
    <w:p w14:paraId="26AB1796" w14:textId="3F2C82C8" w:rsidR="0006092D" w:rsidRDefault="0006092D" w:rsidP="00EE6FB0">
      <w:pPr>
        <w:pStyle w:val="Sommario1"/>
        <w:rPr>
          <w:rFonts w:cstheme="minorBidi"/>
          <w:color w:val="auto"/>
          <w:kern w:val="2"/>
          <w:sz w:val="24"/>
          <w:szCs w:val="24"/>
          <w:lang w:eastAsia="it-IT"/>
          <w14:ligatures w14:val="standardContextual"/>
        </w:rPr>
      </w:pPr>
      <w:hyperlink w:anchor="_Toc181700864" w:history="1">
        <w:r w:rsidRPr="00330E58">
          <w:rPr>
            <w:rStyle w:val="Collegamentoipertestuale"/>
            <w:i/>
            <w:iCs/>
          </w:rPr>
          <w:t>7.4. Spese in conto capitale</w:t>
        </w:r>
        <w:r>
          <w:rPr>
            <w:webHidden/>
          </w:rPr>
          <w:tab/>
        </w:r>
        <w:r>
          <w:rPr>
            <w:webHidden/>
          </w:rPr>
          <w:fldChar w:fldCharType="begin"/>
        </w:r>
        <w:r>
          <w:rPr>
            <w:webHidden/>
          </w:rPr>
          <w:instrText xml:space="preserve"> PAGEREF _Toc181700864 \h </w:instrText>
        </w:r>
        <w:r>
          <w:rPr>
            <w:webHidden/>
          </w:rPr>
        </w:r>
        <w:r>
          <w:rPr>
            <w:webHidden/>
          </w:rPr>
          <w:fldChar w:fldCharType="separate"/>
        </w:r>
        <w:r w:rsidR="003A6841">
          <w:rPr>
            <w:webHidden/>
          </w:rPr>
          <w:t>30</w:t>
        </w:r>
        <w:r>
          <w:rPr>
            <w:webHidden/>
          </w:rPr>
          <w:fldChar w:fldCharType="end"/>
        </w:r>
      </w:hyperlink>
    </w:p>
    <w:p w14:paraId="0CB4AA9D" w14:textId="4DE3568F" w:rsidR="0006092D" w:rsidRDefault="0006092D" w:rsidP="00EE6FB0">
      <w:pPr>
        <w:pStyle w:val="Sommario1"/>
        <w:rPr>
          <w:rFonts w:cstheme="minorBidi"/>
          <w:color w:val="auto"/>
          <w:kern w:val="2"/>
          <w:sz w:val="24"/>
          <w:szCs w:val="24"/>
          <w:lang w:eastAsia="it-IT"/>
          <w14:ligatures w14:val="standardContextual"/>
        </w:rPr>
      </w:pPr>
      <w:hyperlink w:anchor="_Toc181700865" w:history="1">
        <w:r w:rsidRPr="00330E58">
          <w:rPr>
            <w:rStyle w:val="Collegamentoipertestuale"/>
          </w:rPr>
          <w:t>8. FONDI E ACCANTONAMENTI</w:t>
        </w:r>
        <w:r>
          <w:rPr>
            <w:webHidden/>
          </w:rPr>
          <w:tab/>
        </w:r>
        <w:r>
          <w:rPr>
            <w:webHidden/>
          </w:rPr>
          <w:fldChar w:fldCharType="begin"/>
        </w:r>
        <w:r>
          <w:rPr>
            <w:webHidden/>
          </w:rPr>
          <w:instrText xml:space="preserve"> PAGEREF _Toc181700865 \h </w:instrText>
        </w:r>
        <w:r>
          <w:rPr>
            <w:webHidden/>
          </w:rPr>
        </w:r>
        <w:r>
          <w:rPr>
            <w:webHidden/>
          </w:rPr>
          <w:fldChar w:fldCharType="separate"/>
        </w:r>
        <w:r w:rsidR="003A6841">
          <w:rPr>
            <w:webHidden/>
          </w:rPr>
          <w:t>31</w:t>
        </w:r>
        <w:r>
          <w:rPr>
            <w:webHidden/>
          </w:rPr>
          <w:fldChar w:fldCharType="end"/>
        </w:r>
      </w:hyperlink>
    </w:p>
    <w:p w14:paraId="0A0209B4" w14:textId="7D11EE42" w:rsidR="0006092D" w:rsidRDefault="0006092D" w:rsidP="00EE6FB0">
      <w:pPr>
        <w:pStyle w:val="Sommario1"/>
        <w:rPr>
          <w:rFonts w:cstheme="minorBidi"/>
          <w:color w:val="auto"/>
          <w:kern w:val="2"/>
          <w:sz w:val="24"/>
          <w:szCs w:val="24"/>
          <w:lang w:eastAsia="it-IT"/>
          <w14:ligatures w14:val="standardContextual"/>
        </w:rPr>
      </w:pPr>
      <w:hyperlink w:anchor="_Toc181700866" w:history="1">
        <w:r w:rsidRPr="00330E58">
          <w:rPr>
            <w:rStyle w:val="Collegamentoipertestuale"/>
            <w:rFonts w:ascii="Calibri" w:eastAsiaTheme="majorEastAsia" w:hAnsi="Calibri" w:cs="Times New Roman (Titoli CS)"/>
            <w:b/>
            <w:i/>
            <w:iCs/>
          </w:rPr>
          <w:t>8.1. Fondo di riserva di competenza</w:t>
        </w:r>
        <w:r>
          <w:rPr>
            <w:webHidden/>
          </w:rPr>
          <w:tab/>
        </w:r>
        <w:r>
          <w:rPr>
            <w:webHidden/>
          </w:rPr>
          <w:fldChar w:fldCharType="begin"/>
        </w:r>
        <w:r>
          <w:rPr>
            <w:webHidden/>
          </w:rPr>
          <w:instrText xml:space="preserve"> PAGEREF _Toc181700866 \h </w:instrText>
        </w:r>
        <w:r>
          <w:rPr>
            <w:webHidden/>
          </w:rPr>
        </w:r>
        <w:r>
          <w:rPr>
            <w:webHidden/>
          </w:rPr>
          <w:fldChar w:fldCharType="separate"/>
        </w:r>
        <w:r w:rsidR="003A6841">
          <w:rPr>
            <w:webHidden/>
          </w:rPr>
          <w:t>31</w:t>
        </w:r>
        <w:r>
          <w:rPr>
            <w:webHidden/>
          </w:rPr>
          <w:fldChar w:fldCharType="end"/>
        </w:r>
      </w:hyperlink>
    </w:p>
    <w:p w14:paraId="0B3AE881" w14:textId="111A8A91" w:rsidR="0006092D" w:rsidRDefault="0006092D" w:rsidP="00EE6FB0">
      <w:pPr>
        <w:pStyle w:val="Sommario1"/>
        <w:rPr>
          <w:rFonts w:cstheme="minorBidi"/>
          <w:color w:val="auto"/>
          <w:kern w:val="2"/>
          <w:sz w:val="24"/>
          <w:szCs w:val="24"/>
          <w:lang w:eastAsia="it-IT"/>
          <w14:ligatures w14:val="standardContextual"/>
        </w:rPr>
      </w:pPr>
      <w:hyperlink w:anchor="_Toc181700867" w:history="1">
        <w:r w:rsidRPr="00330E58">
          <w:rPr>
            <w:rStyle w:val="Collegamentoipertestuale"/>
            <w:rFonts w:ascii="Calibri" w:eastAsiaTheme="majorEastAsia" w:hAnsi="Calibri" w:cs="Times New Roman (Titoli CS)"/>
            <w:b/>
            <w:i/>
            <w:iCs/>
          </w:rPr>
          <w:t>8.2. Fondo di riserva di cassa</w:t>
        </w:r>
        <w:r>
          <w:rPr>
            <w:webHidden/>
          </w:rPr>
          <w:tab/>
        </w:r>
        <w:r>
          <w:rPr>
            <w:webHidden/>
          </w:rPr>
          <w:fldChar w:fldCharType="begin"/>
        </w:r>
        <w:r>
          <w:rPr>
            <w:webHidden/>
          </w:rPr>
          <w:instrText xml:space="preserve"> PAGEREF _Toc181700867 \h </w:instrText>
        </w:r>
        <w:r>
          <w:rPr>
            <w:webHidden/>
          </w:rPr>
        </w:r>
        <w:r>
          <w:rPr>
            <w:webHidden/>
          </w:rPr>
          <w:fldChar w:fldCharType="separate"/>
        </w:r>
        <w:r w:rsidR="003A6841">
          <w:rPr>
            <w:webHidden/>
          </w:rPr>
          <w:t>32</w:t>
        </w:r>
        <w:r>
          <w:rPr>
            <w:webHidden/>
          </w:rPr>
          <w:fldChar w:fldCharType="end"/>
        </w:r>
      </w:hyperlink>
    </w:p>
    <w:p w14:paraId="6DF6537C" w14:textId="568FDCB6" w:rsidR="0006092D" w:rsidRDefault="0006092D" w:rsidP="00EE6FB0">
      <w:pPr>
        <w:pStyle w:val="Sommario1"/>
        <w:rPr>
          <w:rFonts w:cstheme="minorBidi"/>
          <w:color w:val="auto"/>
          <w:kern w:val="2"/>
          <w:sz w:val="24"/>
          <w:szCs w:val="24"/>
          <w:lang w:eastAsia="it-IT"/>
          <w14:ligatures w14:val="standardContextual"/>
        </w:rPr>
      </w:pPr>
      <w:hyperlink w:anchor="_Toc181700868" w:history="1">
        <w:r w:rsidRPr="00330E58">
          <w:rPr>
            <w:rStyle w:val="Collegamentoipertestuale"/>
            <w:rFonts w:ascii="Calibri" w:eastAsiaTheme="majorEastAsia" w:hAnsi="Calibri" w:cs="Times New Roman (Titoli CS)"/>
            <w:b/>
            <w:i/>
            <w:iCs/>
          </w:rPr>
          <w:t>8.3. Fondo crediti di dubbia esigibilità (FCDE)</w:t>
        </w:r>
        <w:r>
          <w:rPr>
            <w:webHidden/>
          </w:rPr>
          <w:tab/>
        </w:r>
        <w:r>
          <w:rPr>
            <w:webHidden/>
          </w:rPr>
          <w:fldChar w:fldCharType="begin"/>
        </w:r>
        <w:r>
          <w:rPr>
            <w:webHidden/>
          </w:rPr>
          <w:instrText xml:space="preserve"> PAGEREF _Toc181700868 \h </w:instrText>
        </w:r>
        <w:r>
          <w:rPr>
            <w:webHidden/>
          </w:rPr>
        </w:r>
        <w:r>
          <w:rPr>
            <w:webHidden/>
          </w:rPr>
          <w:fldChar w:fldCharType="separate"/>
        </w:r>
        <w:r w:rsidR="003A6841">
          <w:rPr>
            <w:webHidden/>
          </w:rPr>
          <w:t>32</w:t>
        </w:r>
        <w:r>
          <w:rPr>
            <w:webHidden/>
          </w:rPr>
          <w:fldChar w:fldCharType="end"/>
        </w:r>
      </w:hyperlink>
    </w:p>
    <w:p w14:paraId="1DEDA5D9" w14:textId="7F91754D" w:rsidR="0006092D" w:rsidRDefault="0006092D" w:rsidP="00EE6FB0">
      <w:pPr>
        <w:pStyle w:val="Sommario1"/>
        <w:rPr>
          <w:rFonts w:cstheme="minorBidi"/>
          <w:color w:val="auto"/>
          <w:kern w:val="2"/>
          <w:sz w:val="24"/>
          <w:szCs w:val="24"/>
          <w:lang w:eastAsia="it-IT"/>
          <w14:ligatures w14:val="standardContextual"/>
        </w:rPr>
      </w:pPr>
      <w:hyperlink w:anchor="_Toc181700869" w:history="1">
        <w:r w:rsidRPr="00330E58">
          <w:rPr>
            <w:rStyle w:val="Collegamentoipertestuale"/>
            <w:rFonts w:ascii="Calibri" w:eastAsiaTheme="majorEastAsia" w:hAnsi="Calibri" w:cs="Times New Roman (Titoli CS)"/>
            <w:b/>
            <w:i/>
            <w:iCs/>
          </w:rPr>
          <w:t>8.4. Fondi per spese potenziali</w:t>
        </w:r>
        <w:r>
          <w:rPr>
            <w:webHidden/>
          </w:rPr>
          <w:tab/>
        </w:r>
        <w:r>
          <w:rPr>
            <w:webHidden/>
          </w:rPr>
          <w:fldChar w:fldCharType="begin"/>
        </w:r>
        <w:r>
          <w:rPr>
            <w:webHidden/>
          </w:rPr>
          <w:instrText xml:space="preserve"> PAGEREF _Toc181700869 \h </w:instrText>
        </w:r>
        <w:r>
          <w:rPr>
            <w:webHidden/>
          </w:rPr>
        </w:r>
        <w:r>
          <w:rPr>
            <w:webHidden/>
          </w:rPr>
          <w:fldChar w:fldCharType="separate"/>
        </w:r>
        <w:r w:rsidR="003A6841">
          <w:rPr>
            <w:webHidden/>
          </w:rPr>
          <w:t>33</w:t>
        </w:r>
        <w:r>
          <w:rPr>
            <w:webHidden/>
          </w:rPr>
          <w:fldChar w:fldCharType="end"/>
        </w:r>
      </w:hyperlink>
    </w:p>
    <w:p w14:paraId="41003B97" w14:textId="2CB0E80E" w:rsidR="0006092D" w:rsidRDefault="0006092D" w:rsidP="00EE6FB0">
      <w:pPr>
        <w:pStyle w:val="Sommario1"/>
        <w:rPr>
          <w:rFonts w:cstheme="minorBidi"/>
          <w:color w:val="auto"/>
          <w:kern w:val="2"/>
          <w:sz w:val="24"/>
          <w:szCs w:val="24"/>
          <w:lang w:eastAsia="it-IT"/>
          <w14:ligatures w14:val="standardContextual"/>
        </w:rPr>
      </w:pPr>
      <w:hyperlink w:anchor="_Toc181700870" w:history="1">
        <w:r w:rsidRPr="00330E58">
          <w:rPr>
            <w:rStyle w:val="Collegamentoipertestuale"/>
            <w:rFonts w:ascii="Calibri" w:eastAsiaTheme="majorEastAsia" w:hAnsi="Calibri" w:cs="Times New Roman (Titoli CS)"/>
            <w:b/>
            <w:i/>
            <w:iCs/>
          </w:rPr>
          <w:t>8.5. Fondo garanzia debiti commerciali</w:t>
        </w:r>
        <w:r>
          <w:rPr>
            <w:webHidden/>
          </w:rPr>
          <w:tab/>
        </w:r>
        <w:r>
          <w:rPr>
            <w:webHidden/>
          </w:rPr>
          <w:fldChar w:fldCharType="begin"/>
        </w:r>
        <w:r>
          <w:rPr>
            <w:webHidden/>
          </w:rPr>
          <w:instrText xml:space="preserve"> PAGEREF _Toc181700870 \h </w:instrText>
        </w:r>
        <w:r>
          <w:rPr>
            <w:webHidden/>
          </w:rPr>
        </w:r>
        <w:r>
          <w:rPr>
            <w:webHidden/>
          </w:rPr>
          <w:fldChar w:fldCharType="separate"/>
        </w:r>
        <w:r w:rsidR="003A6841">
          <w:rPr>
            <w:webHidden/>
          </w:rPr>
          <w:t>34</w:t>
        </w:r>
        <w:r>
          <w:rPr>
            <w:webHidden/>
          </w:rPr>
          <w:fldChar w:fldCharType="end"/>
        </w:r>
      </w:hyperlink>
    </w:p>
    <w:p w14:paraId="40FAEDD1" w14:textId="0AFDC224" w:rsidR="0006092D" w:rsidRDefault="0006092D" w:rsidP="00EE6FB0">
      <w:pPr>
        <w:pStyle w:val="Sommario1"/>
        <w:rPr>
          <w:rFonts w:cstheme="minorBidi"/>
          <w:color w:val="auto"/>
          <w:kern w:val="2"/>
          <w:sz w:val="24"/>
          <w:szCs w:val="24"/>
          <w:lang w:eastAsia="it-IT"/>
          <w14:ligatures w14:val="standardContextual"/>
        </w:rPr>
      </w:pPr>
      <w:hyperlink w:anchor="_Toc181700871" w:history="1">
        <w:r w:rsidRPr="00330E58">
          <w:rPr>
            <w:rStyle w:val="Collegamentoipertestuale"/>
          </w:rPr>
          <w:t>9. INDEBITAMENTO</w:t>
        </w:r>
        <w:r>
          <w:rPr>
            <w:webHidden/>
          </w:rPr>
          <w:tab/>
        </w:r>
        <w:r>
          <w:rPr>
            <w:webHidden/>
          </w:rPr>
          <w:fldChar w:fldCharType="begin"/>
        </w:r>
        <w:r>
          <w:rPr>
            <w:webHidden/>
          </w:rPr>
          <w:instrText xml:space="preserve"> PAGEREF _Toc181700871 \h </w:instrText>
        </w:r>
        <w:r>
          <w:rPr>
            <w:webHidden/>
          </w:rPr>
        </w:r>
        <w:r>
          <w:rPr>
            <w:webHidden/>
          </w:rPr>
          <w:fldChar w:fldCharType="separate"/>
        </w:r>
        <w:r w:rsidR="003A6841">
          <w:rPr>
            <w:webHidden/>
          </w:rPr>
          <w:t>34</w:t>
        </w:r>
        <w:r>
          <w:rPr>
            <w:webHidden/>
          </w:rPr>
          <w:fldChar w:fldCharType="end"/>
        </w:r>
      </w:hyperlink>
    </w:p>
    <w:p w14:paraId="75823C38" w14:textId="11067DDA" w:rsidR="0006092D" w:rsidRDefault="0006092D" w:rsidP="00EE6FB0">
      <w:pPr>
        <w:pStyle w:val="Sommario1"/>
        <w:rPr>
          <w:rFonts w:cstheme="minorBidi"/>
          <w:color w:val="auto"/>
          <w:kern w:val="2"/>
          <w:sz w:val="24"/>
          <w:szCs w:val="24"/>
          <w:lang w:eastAsia="it-IT"/>
          <w14:ligatures w14:val="standardContextual"/>
        </w:rPr>
      </w:pPr>
      <w:hyperlink w:anchor="_Toc181700872" w:history="1">
        <w:r w:rsidRPr="00330E58">
          <w:rPr>
            <w:rStyle w:val="Collegamentoipertestuale"/>
          </w:rPr>
          <w:t>10. ORGANISMI PARTECIPATI</w:t>
        </w:r>
        <w:r>
          <w:rPr>
            <w:webHidden/>
          </w:rPr>
          <w:tab/>
        </w:r>
        <w:r>
          <w:rPr>
            <w:webHidden/>
          </w:rPr>
          <w:fldChar w:fldCharType="begin"/>
        </w:r>
        <w:r>
          <w:rPr>
            <w:webHidden/>
          </w:rPr>
          <w:instrText xml:space="preserve"> PAGEREF _Toc181700872 \h </w:instrText>
        </w:r>
        <w:r>
          <w:rPr>
            <w:webHidden/>
          </w:rPr>
        </w:r>
        <w:r>
          <w:rPr>
            <w:webHidden/>
          </w:rPr>
          <w:fldChar w:fldCharType="separate"/>
        </w:r>
        <w:r w:rsidR="003A6841">
          <w:rPr>
            <w:webHidden/>
          </w:rPr>
          <w:t>36</w:t>
        </w:r>
        <w:r>
          <w:rPr>
            <w:webHidden/>
          </w:rPr>
          <w:fldChar w:fldCharType="end"/>
        </w:r>
      </w:hyperlink>
    </w:p>
    <w:p w14:paraId="204D339F" w14:textId="0EEE41FB" w:rsidR="0006092D" w:rsidRDefault="0006092D" w:rsidP="00EE6FB0">
      <w:pPr>
        <w:pStyle w:val="Sommario1"/>
        <w:rPr>
          <w:rFonts w:cstheme="minorBidi"/>
          <w:color w:val="auto"/>
          <w:kern w:val="2"/>
          <w:sz w:val="24"/>
          <w:szCs w:val="24"/>
          <w:lang w:eastAsia="it-IT"/>
          <w14:ligatures w14:val="standardContextual"/>
        </w:rPr>
      </w:pPr>
      <w:hyperlink w:anchor="_Toc181700873" w:history="1">
        <w:r w:rsidRPr="00330E58">
          <w:rPr>
            <w:rStyle w:val="Collegamentoipertestuale"/>
          </w:rPr>
          <w:t>11. PNRR</w:t>
        </w:r>
        <w:r>
          <w:rPr>
            <w:webHidden/>
          </w:rPr>
          <w:tab/>
        </w:r>
        <w:r>
          <w:rPr>
            <w:webHidden/>
          </w:rPr>
          <w:fldChar w:fldCharType="begin"/>
        </w:r>
        <w:r>
          <w:rPr>
            <w:webHidden/>
          </w:rPr>
          <w:instrText xml:space="preserve"> PAGEREF _Toc181700873 \h </w:instrText>
        </w:r>
        <w:r>
          <w:rPr>
            <w:webHidden/>
          </w:rPr>
        </w:r>
        <w:r>
          <w:rPr>
            <w:webHidden/>
          </w:rPr>
          <w:fldChar w:fldCharType="separate"/>
        </w:r>
        <w:r w:rsidR="003A6841">
          <w:rPr>
            <w:webHidden/>
          </w:rPr>
          <w:t>38</w:t>
        </w:r>
        <w:r>
          <w:rPr>
            <w:webHidden/>
          </w:rPr>
          <w:fldChar w:fldCharType="end"/>
        </w:r>
      </w:hyperlink>
    </w:p>
    <w:p w14:paraId="4CC2173A" w14:textId="4442FF71" w:rsidR="0006092D" w:rsidRDefault="0006092D" w:rsidP="00EE6FB0">
      <w:pPr>
        <w:pStyle w:val="Sommario1"/>
        <w:rPr>
          <w:rFonts w:cstheme="minorBidi"/>
          <w:color w:val="auto"/>
          <w:kern w:val="2"/>
          <w:sz w:val="24"/>
          <w:szCs w:val="24"/>
          <w:lang w:eastAsia="it-IT"/>
          <w14:ligatures w14:val="standardContextual"/>
        </w:rPr>
      </w:pPr>
      <w:hyperlink w:anchor="_Toc181700874" w:history="1">
        <w:r w:rsidRPr="00330E58">
          <w:rPr>
            <w:rStyle w:val="Collegamentoipertestuale"/>
          </w:rPr>
          <w:t>12. OSSERVAZIONI E SUGGERIMENTI</w:t>
        </w:r>
        <w:r>
          <w:rPr>
            <w:webHidden/>
          </w:rPr>
          <w:tab/>
        </w:r>
        <w:r>
          <w:rPr>
            <w:webHidden/>
          </w:rPr>
          <w:fldChar w:fldCharType="begin"/>
        </w:r>
        <w:r>
          <w:rPr>
            <w:webHidden/>
          </w:rPr>
          <w:instrText xml:space="preserve"> PAGEREF _Toc181700874 \h </w:instrText>
        </w:r>
        <w:r>
          <w:rPr>
            <w:webHidden/>
          </w:rPr>
        </w:r>
        <w:r>
          <w:rPr>
            <w:webHidden/>
          </w:rPr>
          <w:fldChar w:fldCharType="separate"/>
        </w:r>
        <w:r w:rsidR="003A6841">
          <w:rPr>
            <w:webHidden/>
          </w:rPr>
          <w:t>40</w:t>
        </w:r>
        <w:r>
          <w:rPr>
            <w:webHidden/>
          </w:rPr>
          <w:fldChar w:fldCharType="end"/>
        </w:r>
      </w:hyperlink>
    </w:p>
    <w:p w14:paraId="4D01FC50" w14:textId="32148B47" w:rsidR="0006092D" w:rsidRDefault="0006092D" w:rsidP="00EE6FB0">
      <w:pPr>
        <w:pStyle w:val="Sommario1"/>
        <w:rPr>
          <w:rFonts w:cstheme="minorBidi"/>
          <w:color w:val="auto"/>
          <w:kern w:val="2"/>
          <w:sz w:val="24"/>
          <w:szCs w:val="24"/>
          <w:lang w:eastAsia="it-IT"/>
          <w14:ligatures w14:val="standardContextual"/>
        </w:rPr>
      </w:pPr>
      <w:hyperlink w:anchor="_Toc181700875" w:history="1">
        <w:r w:rsidRPr="00330E58">
          <w:rPr>
            <w:rStyle w:val="Collegamentoipertestuale"/>
          </w:rPr>
          <w:t>13. CONCLUSIONI</w:t>
        </w:r>
        <w:r>
          <w:rPr>
            <w:webHidden/>
          </w:rPr>
          <w:tab/>
        </w:r>
        <w:r>
          <w:rPr>
            <w:webHidden/>
          </w:rPr>
          <w:fldChar w:fldCharType="begin"/>
        </w:r>
        <w:r>
          <w:rPr>
            <w:webHidden/>
          </w:rPr>
          <w:instrText xml:space="preserve"> PAGEREF _Toc181700875 \h </w:instrText>
        </w:r>
        <w:r>
          <w:rPr>
            <w:webHidden/>
          </w:rPr>
        </w:r>
        <w:r>
          <w:rPr>
            <w:webHidden/>
          </w:rPr>
          <w:fldChar w:fldCharType="separate"/>
        </w:r>
        <w:r w:rsidR="003A6841">
          <w:rPr>
            <w:webHidden/>
          </w:rPr>
          <w:t>42</w:t>
        </w:r>
        <w:r>
          <w:rPr>
            <w:webHidden/>
          </w:rPr>
          <w:fldChar w:fldCharType="end"/>
        </w:r>
      </w:hyperlink>
    </w:p>
    <w:p w14:paraId="0B3CD289" w14:textId="603966A5"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181700842"/>
      <w:r>
        <w:lastRenderedPageBreak/>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7B82DD54"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EB1F06">
        <w:rPr>
          <w:i/>
          <w:iCs/>
          <w:color w:val="808080" w:themeColor="background1" w:themeShade="80"/>
        </w:rPr>
        <w:t>4</w:t>
      </w:r>
      <w:r w:rsidRPr="000F434D">
        <w:rPr>
          <w:i/>
          <w:iCs/>
          <w:color w:val="808080" w:themeColor="background1" w:themeShade="80"/>
        </w:rPr>
        <w:t>.</w:t>
      </w:r>
    </w:p>
    <w:p w14:paraId="166C2DD9" w14:textId="3C3667E4" w:rsidR="000F434D" w:rsidRPr="000F434D" w:rsidRDefault="000F434D" w:rsidP="000F434D">
      <w:pPr>
        <w:rPr>
          <w:i/>
          <w:iCs/>
          <w:color w:val="808080" w:themeColor="background1" w:themeShade="80"/>
        </w:rPr>
      </w:pPr>
      <w:r w:rsidRPr="00EB1F06">
        <w:rPr>
          <w:i/>
          <w:iCs/>
          <w:color w:val="808080" w:themeColor="background1" w:themeShade="80"/>
        </w:rPr>
        <w:t xml:space="preserve">Il presente documento tiene conto delle norme emanate fino alla data di pubblicazione dello stesso e degli altri provvedimenti che </w:t>
      </w:r>
      <w:r w:rsidR="009D78BC" w:rsidRPr="00EB1F06">
        <w:rPr>
          <w:i/>
          <w:iCs/>
          <w:color w:val="808080" w:themeColor="background1" w:themeShade="80"/>
        </w:rPr>
        <w:t>hanno</w:t>
      </w:r>
      <w:r w:rsidRPr="00EB1F06">
        <w:rPr>
          <w:i/>
          <w:iCs/>
          <w:color w:val="808080" w:themeColor="background1" w:themeShade="80"/>
        </w:rPr>
        <w:t xml:space="preserve"> impatto sul bilancio 202</w:t>
      </w:r>
      <w:r w:rsidR="00EB1F06">
        <w:rPr>
          <w:i/>
          <w:iCs/>
          <w:color w:val="808080" w:themeColor="background1" w:themeShade="80"/>
        </w:rPr>
        <w:t>5</w:t>
      </w:r>
      <w:r w:rsidRPr="00EB1F06">
        <w:rPr>
          <w:i/>
          <w:iCs/>
          <w:color w:val="808080" w:themeColor="background1" w:themeShade="80"/>
        </w:rPr>
        <w:t>-202</w:t>
      </w:r>
      <w:r w:rsidR="00EB1F06">
        <w:rPr>
          <w:i/>
          <w:iCs/>
          <w:color w:val="808080" w:themeColor="background1" w:themeShade="80"/>
        </w:rPr>
        <w:t>7</w:t>
      </w:r>
      <w:r w:rsidRPr="00EB1F06">
        <w:rPr>
          <w:i/>
          <w:iCs/>
          <w:color w:val="808080" w:themeColor="background1" w:themeShade="80"/>
        </w:rPr>
        <w:t xml:space="preserve"> degli enti local</w:t>
      </w:r>
      <w:r w:rsidR="000B4737" w:rsidRPr="00EB1F06">
        <w:rPr>
          <w:i/>
          <w:iCs/>
          <w:color w:val="808080" w:themeColor="background1" w:themeShade="80"/>
        </w:rPr>
        <w:t>i</w:t>
      </w:r>
      <w:r w:rsidR="00F137BD">
        <w:rPr>
          <w:i/>
          <w:iCs/>
          <w:color w:val="808080" w:themeColor="background1" w:themeShade="80"/>
        </w:rPr>
        <w:t xml:space="preserve"> comprese le novità </w:t>
      </w:r>
      <w:r w:rsidR="00AA0DD4">
        <w:rPr>
          <w:i/>
          <w:iCs/>
          <w:color w:val="808080" w:themeColor="background1" w:themeShade="80"/>
        </w:rPr>
        <w:t>introdotte dalla</w:t>
      </w:r>
      <w:r w:rsidR="00F137BD">
        <w:rPr>
          <w:i/>
          <w:iCs/>
          <w:color w:val="808080" w:themeColor="background1" w:themeShade="80"/>
        </w:rPr>
        <w:t xml:space="preserve"> </w:t>
      </w:r>
      <w:r w:rsidR="00145E1F">
        <w:rPr>
          <w:i/>
          <w:iCs/>
          <w:color w:val="808080" w:themeColor="background1" w:themeShade="80"/>
        </w:rPr>
        <w:t>L</w:t>
      </w:r>
      <w:r w:rsidR="00F137BD">
        <w:rPr>
          <w:i/>
          <w:iCs/>
          <w:color w:val="808080" w:themeColor="background1" w:themeShade="80"/>
        </w:rPr>
        <w:t xml:space="preserve">egge di </w:t>
      </w:r>
      <w:r w:rsidR="007B46B4">
        <w:rPr>
          <w:i/>
          <w:iCs/>
          <w:color w:val="808080" w:themeColor="background1" w:themeShade="80"/>
        </w:rPr>
        <w:t>B</w:t>
      </w:r>
      <w:r w:rsidR="00F137BD">
        <w:rPr>
          <w:i/>
          <w:iCs/>
          <w:color w:val="808080" w:themeColor="background1" w:themeShade="80"/>
        </w:rPr>
        <w:t xml:space="preserve">ilancio 2025 </w:t>
      </w:r>
      <w:r w:rsidR="009F2F63">
        <w:rPr>
          <w:i/>
          <w:iCs/>
          <w:color w:val="808080" w:themeColor="background1" w:themeShade="80"/>
        </w:rPr>
        <w:t xml:space="preserve">e </w:t>
      </w:r>
      <w:r w:rsidR="00F137BD">
        <w:rPr>
          <w:i/>
          <w:iCs/>
          <w:color w:val="808080" w:themeColor="background1" w:themeShade="80"/>
        </w:rPr>
        <w:t xml:space="preserve">che sono </w:t>
      </w:r>
      <w:r w:rsidR="009F2F63">
        <w:rPr>
          <w:i/>
          <w:iCs/>
          <w:color w:val="808080" w:themeColor="background1" w:themeShade="80"/>
        </w:rPr>
        <w:t>evidenziate nel testo</w:t>
      </w:r>
      <w:r w:rsidR="00F137BD">
        <w:rPr>
          <w:i/>
          <w:iCs/>
          <w:color w:val="808080" w:themeColor="background1" w:themeShade="80"/>
        </w:rPr>
        <w:t xml:space="preserve"> in appositi box</w:t>
      </w:r>
      <w:r w:rsidR="00145E1F">
        <w:rPr>
          <w:i/>
          <w:iCs/>
          <w:color w:val="808080" w:themeColor="background1" w:themeShade="80"/>
        </w:rPr>
        <w:t xml:space="preserve"> di colore rosso</w:t>
      </w:r>
      <w:r w:rsidR="000B4737" w:rsidRPr="00EB1F06">
        <w:rPr>
          <w:i/>
          <w:iCs/>
          <w:color w:val="808080" w:themeColor="background1" w:themeShade="80"/>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87E0C8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F137BD">
        <w:rPr>
          <w:rFonts w:ascii="Arial" w:eastAsia="Cambria" w:hAnsi="Arial" w:cs="Arial"/>
          <w:b/>
          <w:color w:val="000000"/>
          <w:sz w:val="28"/>
          <w:szCs w:val="28"/>
        </w:rPr>
        <w:t>5</w:t>
      </w:r>
      <w:r w:rsidRPr="007D39DB">
        <w:rPr>
          <w:rFonts w:ascii="Arial" w:eastAsia="Cambria" w:hAnsi="Arial" w:cs="Arial"/>
          <w:b/>
          <w:color w:val="000000"/>
          <w:sz w:val="28"/>
          <w:szCs w:val="28"/>
        </w:rPr>
        <w:t xml:space="preserve"> – 202</w:t>
      </w:r>
      <w:r w:rsidR="00F137BD">
        <w:rPr>
          <w:rFonts w:ascii="Arial" w:eastAsia="Cambria" w:hAnsi="Arial" w:cs="Arial"/>
          <w:b/>
          <w:color w:val="000000"/>
          <w:sz w:val="28"/>
          <w:szCs w:val="28"/>
        </w:rPr>
        <w:t>7</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37FB3B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EB1F06">
        <w:rPr>
          <w:rFonts w:ascii="Arial" w:eastAsia="Arial" w:hAnsi="Arial" w:cs="Arial"/>
          <w:b/>
          <w:color w:val="000000"/>
          <w:szCs w:val="22"/>
        </w:rPr>
        <w:t>5</w:t>
      </w:r>
      <w:r w:rsidRPr="000F434D">
        <w:rPr>
          <w:rFonts w:ascii="Arial" w:eastAsia="Arial" w:hAnsi="Arial" w:cs="Arial"/>
          <w:b/>
          <w:color w:val="000000"/>
          <w:szCs w:val="22"/>
        </w:rPr>
        <w:t>-202</w:t>
      </w:r>
      <w:r w:rsidR="00EB1F06">
        <w:rPr>
          <w:rFonts w:ascii="Arial" w:eastAsia="Arial" w:hAnsi="Arial" w:cs="Arial"/>
          <w:b/>
          <w:color w:val="000000"/>
          <w:szCs w:val="22"/>
        </w:rPr>
        <w:t>7</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612EDB2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9">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49F328A0"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81700843"/>
      <w:bookmarkEnd w:id="3"/>
      <w:r>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3C6BA806"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al D.lgs.</w:t>
      </w:r>
      <w:r w:rsidR="008102EA">
        <w:rPr>
          <w:rFonts w:ascii="Arial" w:eastAsia="Arial" w:hAnsi="Arial" w:cs="Arial"/>
          <w:color w:val="000000"/>
          <w:szCs w:val="22"/>
        </w:rPr>
        <w:t>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10FCDEF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20">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25BEDDF9"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EB1F06">
        <w:rPr>
          <w:rFonts w:ascii="Arial" w:eastAsia="Arial" w:hAnsi="Arial" w:cs="Arial"/>
          <w:color w:val="000000"/>
          <w:szCs w:val="22"/>
        </w:rPr>
        <w:t>5</w:t>
      </w:r>
      <w:r w:rsidR="000F434D" w:rsidRPr="00274695">
        <w:rPr>
          <w:rFonts w:ascii="Arial" w:eastAsia="Arial" w:hAnsi="Arial" w:cs="Arial"/>
          <w:color w:val="000000"/>
          <w:szCs w:val="22"/>
        </w:rPr>
        <w:t>-202</w:t>
      </w:r>
      <w:r w:rsidR="00EB1F06">
        <w:rPr>
          <w:rFonts w:ascii="Arial" w:eastAsia="Arial" w:hAnsi="Arial" w:cs="Arial"/>
          <w:color w:val="000000"/>
          <w:szCs w:val="22"/>
        </w:rPr>
        <w:t>7</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81700844"/>
      <w:r w:rsidRPr="00867831">
        <w:t xml:space="preserve">2. </w:t>
      </w:r>
      <w:r w:rsidR="00B93740" w:rsidRPr="00867831">
        <w:t>N</w:t>
      </w:r>
      <w:r w:rsidR="007D39DB">
        <w:t>OTIZIE GENERALI SULL’ENTE</w:t>
      </w:r>
      <w:bookmarkEnd w:id="5"/>
    </w:p>
    <w:p w14:paraId="5691A480" w14:textId="6CD759B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EB1F06">
        <w:rPr>
          <w:rFonts w:ascii="Arial" w:eastAsia="Arial" w:hAnsi="Arial" w:cs="Arial"/>
          <w:color w:val="000000"/>
          <w:szCs w:val="22"/>
        </w:rPr>
        <w:t>4</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1"/>
      </w:r>
      <w:r w:rsidR="000F434D" w:rsidRPr="00DB44C2">
        <w:rPr>
          <w:rFonts w:ascii="Arial" w:eastAsia="Arial" w:hAnsi="Arial" w:cs="Arial"/>
          <w:color w:val="auto"/>
          <w:szCs w:val="22"/>
        </w:rPr>
        <w:t>.</w:t>
      </w:r>
    </w:p>
    <w:p w14:paraId="5EE36366" w14:textId="4F65ECAB" w:rsidR="000F434D" w:rsidRPr="00DB44C2" w:rsidRDefault="008F18DF" w:rsidP="000F434D">
      <w:pPr>
        <w:ind w:hanging="2"/>
        <w:rPr>
          <w:rFonts w:ascii="Arial" w:eastAsia="Arial" w:hAnsi="Arial" w:cs="Arial"/>
          <w:i/>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81700845"/>
      <w:bookmarkEnd w:id="6"/>
      <w:bookmarkEnd w:id="7"/>
      <w:bookmarkEnd w:id="8"/>
      <w:bookmarkEnd w:id="9"/>
      <w:r>
        <w:t>3</w:t>
      </w:r>
      <w:r w:rsidRPr="00867831">
        <w:t xml:space="preserve">. </w:t>
      </w:r>
      <w:r w:rsidR="00BF14F5">
        <w:t>DOMANDE PRELIMINARI</w:t>
      </w:r>
      <w:bookmarkEnd w:id="10"/>
    </w:p>
    <w:p w14:paraId="1B4BF795" w14:textId="6907F42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EB1F06">
        <w:rPr>
          <w:rFonts w:ascii="Arial" w:eastAsia="Arial" w:hAnsi="Arial" w:cs="Arial"/>
          <w:color w:val="000000"/>
          <w:szCs w:val="22"/>
        </w:rPr>
        <w:t>4</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EB1F06">
        <w:rPr>
          <w:rFonts w:ascii="Arial" w:eastAsia="Arial" w:hAnsi="Arial" w:cs="Arial"/>
          <w:color w:val="000000"/>
          <w:szCs w:val="22"/>
        </w:rPr>
        <w:t>4</w:t>
      </w:r>
      <w:r>
        <w:rPr>
          <w:rFonts w:ascii="Arial" w:eastAsia="Arial" w:hAnsi="Arial" w:cs="Arial"/>
          <w:color w:val="000000"/>
          <w:szCs w:val="22"/>
        </w:rPr>
        <w:t>-202</w:t>
      </w:r>
      <w:r w:rsidR="00EB1F06">
        <w:rPr>
          <w:rFonts w:ascii="Arial" w:eastAsia="Arial" w:hAnsi="Arial" w:cs="Arial"/>
          <w:color w:val="000000"/>
          <w:szCs w:val="22"/>
        </w:rPr>
        <w:t>6</w:t>
      </w:r>
      <w:r>
        <w:rPr>
          <w:rFonts w:ascii="Arial" w:eastAsia="Arial" w:hAnsi="Arial" w:cs="Arial"/>
          <w:color w:val="000000"/>
          <w:szCs w:val="22"/>
        </w:rPr>
        <w:t>.</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6B700EA5"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 xml:space="preserve">adottando una procedura coerente o comunque compatibile con quanto </w:t>
      </w:r>
      <w:r w:rsidR="00232319" w:rsidRPr="00DB44C2">
        <w:rPr>
          <w:rFonts w:ascii="Arial" w:eastAsia="Arial" w:hAnsi="Arial" w:cs="Arial"/>
          <w:color w:val="auto"/>
          <w:szCs w:val="22"/>
        </w:rPr>
        <w:t xml:space="preserve">previsto dal principio contabile </w:t>
      </w:r>
      <w:r w:rsidR="002F178F" w:rsidRPr="00DB44C2">
        <w:rPr>
          <w:rFonts w:ascii="Arial" w:eastAsia="Arial" w:hAnsi="Arial" w:cs="Arial"/>
          <w:color w:val="auto"/>
          <w:szCs w:val="22"/>
        </w:rPr>
        <w:t xml:space="preserve">All.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25.7.</w:t>
      </w:r>
      <w:r w:rsidR="007F0150" w:rsidRPr="00DB44C2">
        <w:rPr>
          <w:rFonts w:ascii="Arial" w:eastAsia="Arial" w:hAnsi="Arial" w:cs="Arial"/>
          <w:color w:val="auto"/>
          <w:szCs w:val="22"/>
        </w:rPr>
        <w:t>2023.</w:t>
      </w:r>
    </w:p>
    <w:p w14:paraId="6A02A53B" w14:textId="6DFF88CB"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00232319"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All.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 xml:space="preserve">ecreto interministeriale del 25.7.2023 </w:t>
      </w:r>
      <w:r w:rsidR="00232319" w:rsidRPr="00DB44C2">
        <w:rPr>
          <w:rFonts w:ascii="Arial" w:eastAsia="Arial" w:hAnsi="Arial" w:cs="Arial"/>
          <w:color w:val="auto"/>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77777777"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EB1F06">
        <w:rPr>
          <w:rFonts w:ascii="Arial" w:eastAsia="Arial" w:hAnsi="Arial" w:cs="Arial"/>
          <w:color w:val="000000"/>
          <w:szCs w:val="22"/>
        </w:rPr>
        <w:t>4</w:t>
      </w:r>
      <w:r>
        <w:rPr>
          <w:rFonts w:ascii="Arial" w:eastAsia="Arial" w:hAnsi="Arial" w:cs="Arial"/>
          <w:color w:val="000000"/>
          <w:szCs w:val="22"/>
        </w:rPr>
        <w:t xml:space="preserve"> come indicato nel principio contabile All.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3C40C351"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3,  del  D.lgs.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L’Organo di revisione ha verificato che l’Ente, prima dell’approvazione in Consiglio Comunale, abbia effettuato il pre-caricamento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bCs/>
          <w:color w:val="auto"/>
          <w:szCs w:val="22"/>
        </w:rPr>
        <w:t>risulta/non risulta</w:t>
      </w:r>
      <w:r w:rsidRPr="00DB44C2">
        <w:rPr>
          <w:rFonts w:ascii="Arial" w:eastAsia="Arial" w:hAnsi="Arial" w:cs="Arial"/>
          <w:color w:val="auto"/>
          <w:szCs w:val="22"/>
        </w:rPr>
        <w:t xml:space="preserve"> strutturalmente deficitario</w:t>
      </w:r>
      <w:r w:rsidR="004E710A" w:rsidRPr="00DB44C2">
        <w:rPr>
          <w:rFonts w:ascii="Arial" w:eastAsia="Arial" w:hAnsi="Arial" w:cs="Arial"/>
          <w:color w:val="auto"/>
          <w:szCs w:val="22"/>
        </w:rPr>
        <w:t xml:space="preserve"> sulla base dei parametri individuati con Decreto interministeriale del 4 agosto 2023 per il triennio 2022-2024.</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81700846"/>
      <w:r>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231622"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(rif.</w:t>
      </w:r>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11C01C44"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435AB9">
        <w:rPr>
          <w:rFonts w:ascii="Arial" w:eastAsia="Arial" w:hAnsi="Arial" w:cs="Arial"/>
          <w:color w:val="auto"/>
          <w:szCs w:val="22"/>
        </w:rPr>
        <w:t>E</w:t>
      </w:r>
      <w:r w:rsidRPr="00305F9B">
        <w:rPr>
          <w:rFonts w:ascii="Arial" w:eastAsia="Arial" w:hAnsi="Arial" w:cs="Arial"/>
          <w:color w:val="auto"/>
          <w:szCs w:val="22"/>
        </w:rPr>
        <w:t>uro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Arconet</w:t>
      </w:r>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D302126"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w:t>
      </w:r>
      <w:r w:rsidRPr="00305F9B">
        <w:rPr>
          <w:rFonts w:ascii="Arial" w:eastAsia="Arial" w:hAnsi="Arial" w:cs="Arial"/>
          <w:color w:val="auto"/>
          <w:szCs w:val="22"/>
        </w:rPr>
        <w:t xml:space="preserve"> </w:t>
      </w:r>
      <w:r w:rsidR="007C5A6D" w:rsidRPr="00305F9B">
        <w:rPr>
          <w:rFonts w:ascii="Arial" w:eastAsia="Arial" w:hAnsi="Arial" w:cs="Arial"/>
          <w:color w:val="auto"/>
          <w:szCs w:val="22"/>
        </w:rPr>
        <w:t xml:space="preserv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6890BE5A"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EB1F06" w:rsidRPr="00305F9B">
        <w:rPr>
          <w:rFonts w:ascii="Arial" w:eastAsia="Arial" w:hAnsi="Arial" w:cs="Arial"/>
          <w:color w:val="auto"/>
          <w:szCs w:val="22"/>
        </w:rPr>
        <w:t>5</w:t>
      </w:r>
      <w:r w:rsidR="00E4221E" w:rsidRPr="00305F9B">
        <w:rPr>
          <w:rFonts w:ascii="Arial" w:eastAsia="Arial" w:hAnsi="Arial" w:cs="Arial"/>
          <w:color w:val="auto"/>
          <w:szCs w:val="22"/>
        </w:rPr>
        <w:t>-202</w:t>
      </w:r>
      <w:r w:rsidR="00EB1F06" w:rsidRPr="00305F9B">
        <w:rPr>
          <w:rFonts w:ascii="Arial" w:eastAsia="Arial" w:hAnsi="Arial" w:cs="Arial"/>
          <w:color w:val="auto"/>
          <w:szCs w:val="22"/>
        </w:rPr>
        <w:t>7</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7E6B4007"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81700847"/>
      <w:r w:rsidRPr="00612096">
        <w:t>5</w:t>
      </w:r>
      <w:r w:rsidR="00FB2A3F" w:rsidRPr="00612096">
        <w:t xml:space="preserve">. </w:t>
      </w:r>
      <w:r w:rsidR="00B542CD" w:rsidRPr="00612096">
        <w:t>LA GESTIONE D</w:t>
      </w:r>
      <w:r w:rsidR="00B93513">
        <w:t>EGLI ESERCIZI 2023 E 2024</w:t>
      </w:r>
      <w:bookmarkEnd w:id="14"/>
      <w:r w:rsidR="00A16468" w:rsidRPr="00612096">
        <w:t xml:space="preserve"> </w:t>
      </w:r>
    </w:p>
    <w:p w14:paraId="217BE88B" w14:textId="2C51A18C"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EB1F06">
        <w:rPr>
          <w:rFonts w:ascii="Arial" w:eastAsia="Arial" w:hAnsi="Arial" w:cs="Arial"/>
          <w:color w:val="000000"/>
          <w:szCs w:val="22"/>
        </w:rPr>
        <w:t>3</w:t>
      </w:r>
      <w:r>
        <w:rPr>
          <w:rFonts w:ascii="Arial" w:eastAsia="Arial" w:hAnsi="Arial" w:cs="Arial"/>
          <w:color w:val="000000"/>
          <w:szCs w:val="22"/>
        </w:rPr>
        <w:t>.</w:t>
      </w:r>
    </w:p>
    <w:p w14:paraId="2994EE3F" w14:textId="1E1D9BE1"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EB1F06">
        <w:rPr>
          <w:rFonts w:ascii="Arial" w:eastAsia="Arial" w:hAnsi="Arial" w:cs="Arial"/>
          <w:color w:val="000000"/>
          <w:szCs w:val="22"/>
        </w:rPr>
        <w:t>3</w:t>
      </w:r>
      <w:r>
        <w:rPr>
          <w:rFonts w:ascii="Arial" w:eastAsia="Arial" w:hAnsi="Arial" w:cs="Arial"/>
          <w:color w:val="000000"/>
          <w:szCs w:val="22"/>
        </w:rPr>
        <w:t xml:space="preserve"> in data …../../202</w:t>
      </w:r>
      <w:r w:rsidR="00EB1F06">
        <w:rPr>
          <w:rFonts w:ascii="Arial" w:eastAsia="Arial" w:hAnsi="Arial" w:cs="Arial"/>
          <w:color w:val="000000"/>
          <w:szCs w:val="22"/>
        </w:rPr>
        <w:t>4</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CCBD7A8"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EB1F06">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EB1F06">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EB1F06">
        <w:rPr>
          <w:rFonts w:ascii="Arial" w:eastAsia="Arial" w:hAnsi="Arial" w:cs="Arial"/>
          <w:color w:val="000000"/>
          <w:szCs w:val="22"/>
        </w:rPr>
        <w:t>3</w:t>
      </w:r>
      <w:r>
        <w:rPr>
          <w:rFonts w:ascii="Arial" w:eastAsia="Arial" w:hAnsi="Arial" w:cs="Arial"/>
          <w:color w:val="000000"/>
          <w:szCs w:val="22"/>
        </w:rPr>
        <w:t xml:space="preserve"> (oppure: al 31/12/202</w:t>
      </w:r>
      <w:r w:rsidR="00EB1F06">
        <w:rPr>
          <w:rFonts w:ascii="Arial" w:eastAsia="Arial" w:hAnsi="Arial" w:cs="Arial"/>
          <w:color w:val="000000"/>
          <w:szCs w:val="22"/>
        </w:rPr>
        <w:t>4</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2B2B6D6A"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EB1F06" w:rsidRPr="00305F9B">
        <w:rPr>
          <w:rFonts w:ascii="Arial" w:eastAsia="Arial" w:hAnsi="Arial" w:cs="Arial"/>
          <w:color w:val="auto"/>
          <w:szCs w:val="22"/>
        </w:rPr>
        <w:t>4</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634B3B6"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F5FD5" w:rsidRPr="004B4CFE">
        <w:rPr>
          <w:rFonts w:ascii="Arial" w:eastAsia="Arial" w:hAnsi="Arial" w:cs="Arial"/>
          <w:color w:val="auto"/>
          <w:szCs w:val="22"/>
        </w:rPr>
        <w:t>4</w:t>
      </w:r>
      <w:r w:rsidR="00D96A8E" w:rsidRPr="004B4CFE">
        <w:rPr>
          <w:rFonts w:ascii="Arial" w:eastAsia="Arial" w:hAnsi="Arial" w:cs="Arial"/>
          <w:color w:val="auto"/>
          <w:szCs w:val="22"/>
        </w:rPr>
        <w:t>.</w:t>
      </w:r>
    </w:p>
    <w:p w14:paraId="627D0F33" w14:textId="468EF289" w:rsidR="00B93513" w:rsidRPr="004B4CFE" w:rsidRDefault="00B93513"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81700848"/>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affermativa </w:t>
      </w:r>
      <w:r w:rsidRPr="00CF7814">
        <w:rPr>
          <w:rFonts w:ascii="Arial" w:eastAsia="Arial" w:hAnsi="Arial" w:cs="Arial"/>
          <w:i/>
          <w:iCs/>
          <w:color w:val="000000"/>
          <w:szCs w:val="22"/>
        </w:rPr>
        <w:t xml:space="preserve">) </w:t>
      </w:r>
    </w:p>
    <w:p w14:paraId="7E37A60A" w14:textId="4C123F3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7193D2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7E9AD1D1" w:rsidR="00FA0B25" w:rsidRPr="00B62E12" w:rsidRDefault="00BF1513" w:rsidP="0006092D">
      <w:pPr>
        <w:spacing w:before="120" w:after="60" w:line="240" w:lineRule="auto"/>
        <w:outlineLvl w:val="0"/>
        <w:rPr>
          <w:rFonts w:ascii="Arial" w:eastAsia="Arial" w:hAnsi="Arial" w:cs="Arial"/>
          <w:i/>
          <w:iCs/>
          <w:color w:val="FF0000"/>
          <w:szCs w:val="22"/>
        </w:rPr>
      </w:pPr>
      <w:bookmarkStart w:id="19" w:name="_Toc181700849"/>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32A25AC9"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5F5FD5">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5F5FD5">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6C085411"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 …..</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0B947717"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 il mancato rispetto del piano di rientro e a tal fine ritiene necessario che nelle previsioni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D</w:t>
      </w:r>
      <w:r w:rsidR="00E76B91">
        <w:rPr>
          <w:rFonts w:ascii="Arial" w:eastAsia="Arial" w:hAnsi="Arial" w:cs="Arial"/>
          <w:color w:val="auto"/>
          <w:szCs w:val="22"/>
        </w:rPr>
        <w:t>.l.</w:t>
      </w:r>
      <w:r w:rsidRPr="004B4CFE">
        <w:rPr>
          <w:rFonts w:ascii="Arial" w:eastAsia="Arial" w:hAnsi="Arial" w:cs="Arial"/>
          <w:color w:val="auto"/>
          <w:szCs w:val="22"/>
        </w:rPr>
        <w:t xml:space="preserve"> 18/2020 in base a quanto precisato dalla FAQ 40 di Arconet. </w:t>
      </w:r>
    </w:p>
    <w:p w14:paraId="0A562C9A" w14:textId="683DB09B"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5F5FD5" w:rsidRPr="004B4CFE">
        <w:rPr>
          <w:rFonts w:ascii="Arial" w:eastAsia="Arial" w:hAnsi="Arial" w:cs="Arial"/>
          <w:color w:val="auto"/>
          <w:szCs w:val="22"/>
        </w:rPr>
        <w:t>3</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del d.l. 25 maggio 2021, n.73, convertito dalla legge 23 luglio 2021, n.106 (FAL) e dall’art.15,co.3, d.l.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713AADBC"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5F5FD5" w:rsidRPr="004B4CFE">
        <w:rPr>
          <w:rFonts w:ascii="Arial" w:eastAsia="Arial" w:hAnsi="Arial" w:cs="Arial"/>
          <w:color w:val="auto"/>
          <w:szCs w:val="22"/>
        </w:rPr>
        <w:t>5</w:t>
      </w:r>
      <w:r w:rsidRPr="004B4CFE">
        <w:rPr>
          <w:rFonts w:ascii="Arial" w:eastAsia="Arial" w:hAnsi="Arial" w:cs="Arial"/>
          <w:color w:val="auto"/>
          <w:szCs w:val="22"/>
        </w:rPr>
        <w:t>–202</w:t>
      </w:r>
      <w:r w:rsidR="005F5FD5" w:rsidRPr="004B4CFE">
        <w:rPr>
          <w:rFonts w:ascii="Arial" w:eastAsia="Arial" w:hAnsi="Arial" w:cs="Arial"/>
          <w:color w:val="auto"/>
          <w:szCs w:val="22"/>
        </w:rPr>
        <w:t>7</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n.118/2011 e s.m.i.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14A58A7B"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t>L’Organo di revisione ha verificato che l’Ente, se già in disavanzo al 31 dicembre 202</w:t>
      </w:r>
      <w:r w:rsidR="005F5FD5" w:rsidRPr="004B4CFE">
        <w:rPr>
          <w:rFonts w:ascii="Arial" w:eastAsia="Arial" w:hAnsi="Arial" w:cs="Arial"/>
          <w:color w:val="auto"/>
          <w:szCs w:val="22"/>
        </w:rPr>
        <w:t>3</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DE3C89" w:rsidRPr="004B4CFE">
        <w:rPr>
          <w:rFonts w:ascii="Arial" w:eastAsia="Arial" w:hAnsi="Arial" w:cs="Arial"/>
          <w:color w:val="auto"/>
          <w:szCs w:val="22"/>
        </w:rPr>
        <w:t>5</w:t>
      </w:r>
      <w:r w:rsidRPr="004B4CFE">
        <w:rPr>
          <w:rFonts w:ascii="Arial" w:eastAsia="Arial" w:hAnsi="Arial" w:cs="Arial"/>
          <w:color w:val="auto"/>
          <w:szCs w:val="22"/>
        </w:rPr>
        <w:t>–202</w:t>
      </w:r>
      <w:r w:rsidR="00DE3C89" w:rsidRPr="004B4CFE">
        <w:rPr>
          <w:rFonts w:ascii="Arial" w:eastAsia="Arial" w:hAnsi="Arial" w:cs="Arial"/>
          <w:color w:val="auto"/>
          <w:szCs w:val="22"/>
        </w:rPr>
        <w:t>7</w:t>
      </w:r>
      <w:r w:rsidRPr="004B4CFE">
        <w:rPr>
          <w:rFonts w:ascii="Arial" w:eastAsia="Arial" w:hAnsi="Arial" w:cs="Arial"/>
          <w:color w:val="auto"/>
          <w:szCs w:val="22"/>
        </w:rPr>
        <w:t>, le attività svolte per il ripiano di tale disavanzo e i risultati raggiunti al termine dell’esercizio 202</w:t>
      </w:r>
      <w:r w:rsidR="00DE3C89" w:rsidRPr="004B4CFE">
        <w:rPr>
          <w:rFonts w:ascii="Arial" w:eastAsia="Arial" w:hAnsi="Arial" w:cs="Arial"/>
          <w:color w:val="auto"/>
          <w:szCs w:val="22"/>
        </w:rPr>
        <w:t>4</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r w:rsidRPr="004B4CFE">
        <w:rPr>
          <w:rFonts w:ascii="Arial" w:eastAsia="Arial" w:hAnsi="Arial" w:cs="Arial"/>
          <w:color w:val="auto"/>
          <w:szCs w:val="22"/>
        </w:rPr>
        <w:t>s.m.i.–D.M. 7 settembre 2020).</w:t>
      </w:r>
    </w:p>
    <w:p w14:paraId="421A49BB" w14:textId="7C44873C"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7BACE2CB" w14:textId="3A3E47C8"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heading=h.44sinio" w:colFirst="0" w:colLast="0"/>
      <w:bookmarkStart w:id="22" w:name="_Toc181700850"/>
      <w:bookmarkEnd w:id="21"/>
      <w:r>
        <w:t>6</w:t>
      </w:r>
      <w:r w:rsidR="00AD7B50" w:rsidRPr="00867831">
        <w:t xml:space="preserve">. </w:t>
      </w:r>
      <w:r w:rsidR="00135AF1">
        <w:t>BILANCIO DI PREVISIONE</w:t>
      </w:r>
      <w:r w:rsidR="00AD7B50">
        <w:t xml:space="preserve"> 202</w:t>
      </w:r>
      <w:r w:rsidR="00EB1F06">
        <w:t>5</w:t>
      </w:r>
      <w:r w:rsidR="00AD7B50">
        <w:t>-202</w:t>
      </w:r>
      <w:r w:rsidR="00EB1F06">
        <w:t>7</w:t>
      </w:r>
      <w:bookmarkEnd w:id="22"/>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5C435E6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 xml:space="preserve">2025-2027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2093C790"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Nel caso di risposta negativa fornire chiarimenti:…………..</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653A0F5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5F5FD5">
        <w:rPr>
          <w:rFonts w:ascii="Arial" w:eastAsia="Arial" w:hAnsi="Arial" w:cs="Arial"/>
          <w:color w:val="000000"/>
          <w:szCs w:val="22"/>
        </w:rPr>
        <w:t>5</w:t>
      </w:r>
      <w:r>
        <w:rPr>
          <w:rFonts w:ascii="Arial" w:eastAsia="Arial" w:hAnsi="Arial" w:cs="Arial"/>
          <w:color w:val="000000"/>
          <w:szCs w:val="22"/>
        </w:rPr>
        <w:t>, 202</w:t>
      </w:r>
      <w:r w:rsidR="005F5FD5">
        <w:rPr>
          <w:rFonts w:ascii="Arial" w:eastAsia="Arial" w:hAnsi="Arial" w:cs="Arial"/>
          <w:color w:val="000000"/>
          <w:szCs w:val="22"/>
        </w:rPr>
        <w:t>6</w:t>
      </w:r>
      <w:r>
        <w:rPr>
          <w:rFonts w:ascii="Arial" w:eastAsia="Arial" w:hAnsi="Arial" w:cs="Arial"/>
          <w:color w:val="000000"/>
          <w:szCs w:val="22"/>
        </w:rPr>
        <w:t xml:space="preserve"> e 202</w:t>
      </w:r>
      <w:r w:rsidR="005F5FD5">
        <w:rPr>
          <w:rFonts w:ascii="Arial" w:eastAsia="Arial" w:hAnsi="Arial" w:cs="Arial"/>
          <w:color w:val="000000"/>
          <w:szCs w:val="22"/>
        </w:rPr>
        <w:t>7</w:t>
      </w:r>
      <w:r>
        <w:rPr>
          <w:rFonts w:ascii="Arial" w:eastAsia="Arial" w:hAnsi="Arial" w:cs="Arial"/>
          <w:color w:val="000000"/>
          <w:szCs w:val="22"/>
        </w:rPr>
        <w:t xml:space="preserve"> confrontate con le previsioni definitive per l’anno 202</w:t>
      </w:r>
      <w:r w:rsidR="005F5FD5">
        <w:rPr>
          <w:rFonts w:ascii="Arial" w:eastAsia="Arial" w:hAnsi="Arial" w:cs="Arial"/>
          <w:color w:val="000000"/>
          <w:szCs w:val="22"/>
        </w:rPr>
        <w:t>4</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Toc181700851"/>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3"/>
    </w:p>
    <w:p w14:paraId="508E8CA0" w14:textId="31358E3E"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5F5FD5">
        <w:rPr>
          <w:rFonts w:ascii="Arial" w:eastAsia="Arial" w:hAnsi="Arial" w:cs="Arial"/>
          <w:color w:val="000000"/>
          <w:szCs w:val="22"/>
        </w:rPr>
        <w:t>5</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w:t>
      </w:r>
      <w:r w:rsidR="00D20521">
        <w:rPr>
          <w:rFonts w:ascii="Arial" w:eastAsia="Arial" w:hAnsi="Arial" w:cs="Arial"/>
          <w:color w:val="000000"/>
          <w:szCs w:val="22"/>
        </w:rPr>
        <w:t>l paragrafo</w:t>
      </w:r>
      <w:r w:rsidRPr="00B809D0">
        <w:rPr>
          <w:rFonts w:ascii="Arial" w:eastAsia="Arial" w:hAnsi="Arial" w:cs="Arial"/>
          <w:color w:val="000000"/>
          <w:szCs w:val="22"/>
        </w:rPr>
        <w:t xml:space="preserve"> 5.4.9 (</w:t>
      </w:r>
      <w:r w:rsidR="00D20521">
        <w:rPr>
          <w:rFonts w:ascii="Arial" w:eastAsia="Arial" w:hAnsi="Arial" w:cs="Arial"/>
          <w:color w:val="000000"/>
          <w:szCs w:val="22"/>
        </w:rPr>
        <w:t>la conservazione del fondo pluriennale vincolato per le spese non ancora impegnate</w:t>
      </w:r>
      <w:r w:rsidRPr="00B809D0">
        <w:rPr>
          <w:rFonts w:ascii="Arial" w:eastAsia="Arial" w:hAnsi="Arial" w:cs="Arial"/>
          <w:color w:val="000000"/>
          <w:szCs w:val="22"/>
        </w:rPr>
        <w:t>)</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Arconet). </w:t>
      </w:r>
    </w:p>
    <w:p w14:paraId="60F87F38" w14:textId="451546DA"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EB1F06" w:rsidRPr="004B4CFE">
        <w:rPr>
          <w:rFonts w:ascii="Arial" w:eastAsia="Arial" w:hAnsi="Arial" w:cs="Arial"/>
          <w:color w:val="auto"/>
          <w:szCs w:val="22"/>
        </w:rPr>
        <w:t>5</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295AA59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5F5FD5">
        <w:rPr>
          <w:rFonts w:ascii="Arial" w:eastAsia="Arial" w:hAnsi="Arial" w:cs="Arial"/>
          <w:color w:val="000000"/>
          <w:szCs w:val="22"/>
        </w:rPr>
        <w:t>5</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heading=h.39kk8xu" w:colFirst="0" w:colLast="0"/>
      <w:bookmarkEnd w:id="24"/>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Toc181700852"/>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5"/>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6" w:name="_heading=h.dlrcwgae5sfi" w:colFirst="0" w:colLast="0"/>
      <w:bookmarkEnd w:id="26"/>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6C64A771"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r w:rsidRPr="004B4CFE">
        <w:rPr>
          <w:rFonts w:ascii="Arial" w:eastAsia="Arial" w:hAnsi="Arial" w:cs="Arial"/>
          <w:color w:val="auto"/>
          <w:szCs w:val="22"/>
        </w:rPr>
        <w:t>conv.</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riappostamento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262B8835"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EB1F06">
        <w:rPr>
          <w:rFonts w:ascii="Arial" w:eastAsia="Arial" w:hAnsi="Arial" w:cs="Arial"/>
          <w:iCs/>
          <w:color w:val="auto"/>
          <w:szCs w:val="22"/>
        </w:rPr>
        <w:t>5</w:t>
      </w:r>
      <w:r w:rsidRPr="00423C19">
        <w:rPr>
          <w:rFonts w:ascii="Arial" w:eastAsia="Arial" w:hAnsi="Arial" w:cs="Arial"/>
          <w:iCs/>
          <w:color w:val="auto"/>
          <w:szCs w:val="22"/>
        </w:rPr>
        <w:t>-202</w:t>
      </w:r>
      <w:r w:rsidR="00EB1F06">
        <w:rPr>
          <w:rFonts w:ascii="Arial" w:eastAsia="Arial" w:hAnsi="Arial" w:cs="Arial"/>
          <w:iCs/>
          <w:color w:val="auto"/>
          <w:szCs w:val="22"/>
        </w:rPr>
        <w:t>7</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r w:rsidRPr="00423C19">
        <w:rPr>
          <w:rFonts w:ascii="Arial" w:eastAsia="Arial" w:hAnsi="Arial" w:cs="Arial"/>
          <w:iCs/>
          <w:color w:val="auto"/>
          <w:szCs w:val="22"/>
        </w:rPr>
        <w:t>conv.</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nel titolo 4 di spesa l’importo della rate di ammortamento del FAL</w:t>
      </w:r>
      <w:r>
        <w:rPr>
          <w:rFonts w:ascii="Arial" w:eastAsia="Arial" w:hAnsi="Arial" w:cs="Arial"/>
          <w:iCs/>
          <w:color w:val="00B0F0"/>
          <w:szCs w:val="22"/>
        </w:rPr>
        <w:t>;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0BD888F0"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3DDDCA3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r w:rsidR="00423C19" w:rsidRPr="004B4CFE">
        <w:rPr>
          <w:rFonts w:ascii="Arial" w:eastAsia="Arial" w:hAnsi="Arial" w:cs="Arial"/>
          <w:color w:val="auto"/>
          <w:szCs w:val="22"/>
        </w:rPr>
        <w:t xml:space="preserve"> l’Ente ha beneficiato nel 2021 per un importo pari a Euro_______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r w:rsidR="00E76B91">
        <w:rPr>
          <w:rFonts w:ascii="Arial" w:eastAsia="Arial" w:hAnsi="Arial" w:cs="Arial"/>
          <w:color w:val="auto"/>
          <w:szCs w:val="22"/>
        </w:rPr>
        <w:t>D</w:t>
      </w:r>
      <w:r w:rsidR="00423C19" w:rsidRPr="004B4CFE">
        <w:rPr>
          <w:rFonts w:ascii="Arial" w:eastAsia="Arial" w:hAnsi="Arial" w:cs="Arial"/>
          <w:color w:val="auto"/>
          <w:szCs w:val="22"/>
        </w:rPr>
        <w:t>.l.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04380F3F" w14:textId="77777777" w:rsidR="00145E1F" w:rsidRPr="004B4CFE" w:rsidRDefault="00145E1F" w:rsidP="000F434D">
      <w:pPr>
        <w:pBdr>
          <w:top w:val="nil"/>
          <w:left w:val="nil"/>
          <w:bottom w:val="nil"/>
          <w:right w:val="nil"/>
          <w:between w:val="nil"/>
        </w:pBdr>
        <w:spacing w:line="240" w:lineRule="auto"/>
        <w:ind w:hanging="2"/>
        <w:rPr>
          <w:rFonts w:ascii="Arial" w:eastAsia="Arial" w:hAnsi="Arial" w:cs="Arial"/>
          <w:color w:val="auto"/>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7" w:name="_Toc181700853"/>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7"/>
    </w:p>
    <w:p w14:paraId="68AD70E6" w14:textId="1ABB64EC" w:rsidR="00F044FD" w:rsidRPr="004B4CFE" w:rsidRDefault="00F044FD" w:rsidP="00F044FD">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 xml:space="preserve">l’impostazione del bilancio di previsione 2025-2027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 ai sensi art. 1, comma 821, legge n. 145/2018 con riferimento ai prospetti degli equilibri modificati dal DM 1° agosto 2019.</w:t>
      </w:r>
    </w:p>
    <w:p w14:paraId="63C4EEBE" w14:textId="77777777" w:rsidR="00F044FD" w:rsidRDefault="00F044FD"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F044FD" w14:paraId="2C7CDD73" w14:textId="77777777" w:rsidTr="00F044FD">
        <w:tc>
          <w:tcPr>
            <w:tcW w:w="9060" w:type="dxa"/>
            <w:shd w:val="clear" w:color="auto" w:fill="FFFFFF" w:themeFill="background1"/>
          </w:tcPr>
          <w:p w14:paraId="454A7832" w14:textId="5C667FA4" w:rsidR="004A2A0D" w:rsidRDefault="00F044FD" w:rsidP="00390923">
            <w:pPr>
              <w:spacing w:line="240" w:lineRule="auto"/>
              <w:ind w:left="0" w:hanging="2"/>
              <w:outlineLvl w:val="9"/>
              <w:rPr>
                <w:rFonts w:ascii="Arial" w:eastAsia="Arial" w:hAnsi="Arial" w:cs="Arial"/>
                <w:b/>
                <w:bCs/>
                <w:color w:val="000000"/>
                <w:szCs w:val="22"/>
                <w:u w:val="single"/>
              </w:rPr>
            </w:pPr>
            <w:bookmarkStart w:id="28" w:name="_Hlk181550711"/>
            <w:r w:rsidRPr="00F044FD">
              <w:rPr>
                <w:rFonts w:ascii="Arial" w:eastAsia="Arial" w:hAnsi="Arial" w:cs="Arial"/>
                <w:color w:val="000000"/>
                <w:szCs w:val="22"/>
              </w:rPr>
              <w:t xml:space="preserve">Il comma </w:t>
            </w:r>
            <w:r w:rsidR="004A2A0D">
              <w:rPr>
                <w:rFonts w:ascii="Arial" w:eastAsia="Arial" w:hAnsi="Arial" w:cs="Arial"/>
                <w:color w:val="000000"/>
                <w:szCs w:val="22"/>
              </w:rPr>
              <w:t>785</w:t>
            </w:r>
            <w:r w:rsidRPr="00F044FD">
              <w:rPr>
                <w:rFonts w:ascii="Arial" w:eastAsia="Arial" w:hAnsi="Arial" w:cs="Arial"/>
                <w:color w:val="000000"/>
                <w:szCs w:val="22"/>
              </w:rPr>
              <w:t xml:space="preserve"> dell’articolo 1 della </w:t>
            </w:r>
            <w:r w:rsidR="00AF7672">
              <w:rPr>
                <w:rFonts w:ascii="Arial" w:eastAsia="Arial" w:hAnsi="Arial" w:cs="Arial"/>
                <w:color w:val="000000"/>
                <w:szCs w:val="22"/>
              </w:rPr>
              <w:t>Legge</w:t>
            </w:r>
            <w:r w:rsidR="00AF7672" w:rsidRPr="00AF7672">
              <w:rPr>
                <w:rFonts w:ascii="Arial" w:eastAsia="Arial" w:hAnsi="Arial" w:cs="Arial"/>
                <w:color w:val="000000"/>
                <w:szCs w:val="22"/>
              </w:rPr>
              <w:t xml:space="preserve"> 30 dicembre 2024, n. 207 </w:t>
            </w:r>
            <w:r w:rsidR="00AF7672">
              <w:rPr>
                <w:rFonts w:ascii="Arial" w:eastAsia="Arial" w:hAnsi="Arial" w:cs="Arial"/>
                <w:color w:val="000000"/>
                <w:szCs w:val="22"/>
              </w:rPr>
              <w:t xml:space="preserve">- </w:t>
            </w:r>
            <w:r w:rsidR="00AF7672" w:rsidRPr="00F044FD">
              <w:rPr>
                <w:rFonts w:ascii="Arial" w:eastAsia="Arial" w:hAnsi="Arial" w:cs="Arial"/>
                <w:color w:val="000000"/>
                <w:szCs w:val="22"/>
              </w:rPr>
              <w:t>L</w:t>
            </w:r>
            <w:r w:rsidR="00AF7672">
              <w:rPr>
                <w:rFonts w:ascii="Arial" w:eastAsia="Arial" w:hAnsi="Arial" w:cs="Arial"/>
                <w:color w:val="000000"/>
                <w:szCs w:val="22"/>
              </w:rPr>
              <w:t xml:space="preserve">egge di </w:t>
            </w:r>
            <w:r w:rsidR="00AF7672" w:rsidRPr="00F044FD">
              <w:rPr>
                <w:rFonts w:ascii="Arial" w:eastAsia="Arial" w:hAnsi="Arial" w:cs="Arial"/>
                <w:color w:val="000000"/>
                <w:szCs w:val="22"/>
              </w:rPr>
              <w:t>B</w:t>
            </w:r>
            <w:r w:rsidR="00AF7672">
              <w:rPr>
                <w:rFonts w:ascii="Arial" w:eastAsia="Arial" w:hAnsi="Arial" w:cs="Arial"/>
                <w:color w:val="000000"/>
                <w:szCs w:val="22"/>
              </w:rPr>
              <w:t>ilancio</w:t>
            </w:r>
            <w:r w:rsidR="00AF7672" w:rsidRPr="00F044FD">
              <w:rPr>
                <w:rFonts w:ascii="Arial" w:eastAsia="Arial" w:hAnsi="Arial" w:cs="Arial"/>
                <w:color w:val="000000"/>
                <w:szCs w:val="22"/>
              </w:rPr>
              <w:t xml:space="preserve"> 2025</w:t>
            </w:r>
            <w:r w:rsidR="00AF7672">
              <w:rPr>
                <w:rFonts w:ascii="Arial" w:eastAsia="Arial" w:hAnsi="Arial" w:cs="Arial"/>
                <w:color w:val="000000"/>
                <w:szCs w:val="22"/>
              </w:rPr>
              <w:t xml:space="preserve">- </w:t>
            </w:r>
            <w:r w:rsidR="004A2A0D">
              <w:rPr>
                <w:rFonts w:ascii="Arial" w:eastAsia="Arial" w:hAnsi="Arial" w:cs="Arial"/>
                <w:color w:val="000000"/>
                <w:szCs w:val="22"/>
              </w:rPr>
              <w:t xml:space="preserve">dispone che l’equilibrio di bilancio di cui </w:t>
            </w:r>
            <w:r w:rsidRPr="00F044FD">
              <w:rPr>
                <w:rFonts w:ascii="Arial" w:eastAsia="Arial" w:hAnsi="Arial" w:cs="Arial"/>
                <w:color w:val="000000"/>
                <w:szCs w:val="22"/>
              </w:rPr>
              <w:t xml:space="preserve">all’articolo 1, comma 821, della legge n. 145 del 2018, </w:t>
            </w:r>
            <w:r w:rsidR="004A2A0D">
              <w:rPr>
                <w:rFonts w:ascii="Arial" w:eastAsia="Arial" w:hAnsi="Arial" w:cs="Arial"/>
                <w:color w:val="000000"/>
                <w:szCs w:val="22"/>
              </w:rPr>
              <w:t>è rispettato</w:t>
            </w:r>
            <w:r w:rsidRPr="00F044FD">
              <w:rPr>
                <w:rFonts w:ascii="Arial" w:eastAsia="Arial" w:hAnsi="Arial" w:cs="Arial"/>
                <w:b/>
                <w:bCs/>
                <w:color w:val="000000"/>
                <w:szCs w:val="22"/>
                <w:u w:val="single"/>
              </w:rPr>
              <w:t xml:space="preserve"> in presenza di un saldo non negativo tra le entrate e le spese di competenza finanziaria del bilancio, comprensivo dell’utilizzo dell’avanzo di amministrazione e del recupero del disavanzo di amministrazione e degli utilizzi del fondo pluriennale vincolato, al netto delle entrate vincolate e accantonate non utilizzate nel corso dell’esercizio. </w:t>
            </w:r>
          </w:p>
          <w:p w14:paraId="6B818DDA" w14:textId="55F8CFD8" w:rsidR="00F044FD" w:rsidRPr="004A2A0D" w:rsidRDefault="00F044FD" w:rsidP="00390923">
            <w:pPr>
              <w:spacing w:line="240" w:lineRule="auto"/>
              <w:ind w:left="0" w:hanging="2"/>
              <w:outlineLvl w:val="9"/>
              <w:rPr>
                <w:rFonts w:ascii="Arial" w:eastAsia="Arial" w:hAnsi="Arial" w:cs="Arial"/>
                <w:color w:val="000000"/>
                <w:szCs w:val="22"/>
              </w:rPr>
            </w:pPr>
            <w:r w:rsidRPr="00AF7672">
              <w:rPr>
                <w:rFonts w:ascii="Arial" w:eastAsia="Arial" w:hAnsi="Arial" w:cs="Arial"/>
                <w:color w:val="000000"/>
                <w:szCs w:val="22"/>
              </w:rPr>
              <w:t>Per gli enti locali si tratta del saldo W2 risultante dal prospetto degli equilibri in sede di rendiconto 2025.</w:t>
            </w:r>
          </w:p>
          <w:p w14:paraId="642BE2AC" w14:textId="630534B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 sostanza a livello normativo si conferma l’impostazione di Arconet (riunione 11/12/2019) che aveva precisato che il Risultato di competenza (W1) e l’Equilibrio di bilancio (W2) sono indicatori che rappresentano gli equilibri che dipendono dalla gestione del bilancio, mentre l’Equilibrio complessivo (W3) svolge la funzione di rappresentare gli effetti della gestione complessiva dell’esercizio e la relazione con il risultato di amministrazione. Pertanto, fermo restando l’obbligo di conseguire un Risultato di competenza (W1) non negativo, ai fini della verifica del rispetto degli equilibri di cui al comma 821 dell’articolo 1 della Legge n. 145 del 2018, </w:t>
            </w:r>
            <w:r w:rsidRPr="00F044FD">
              <w:rPr>
                <w:rFonts w:ascii="Arial" w:eastAsia="Arial" w:hAnsi="Arial" w:cs="Arial"/>
                <w:b/>
                <w:bCs/>
                <w:color w:val="000000"/>
                <w:szCs w:val="22"/>
                <w:u w:val="single"/>
              </w:rPr>
              <w:t>gli Enti devono tendere al rispetto dell’Equilibrio di bilancio (W2), che rappresenta l’effettiva capacità dell’Ente di garantire, a consuntivo, la copertura integrale degli impegni, del ripiano del disavanzo, dei vincoli di destinazione e degli accantonamenti di bilancio</w:t>
            </w:r>
            <w:r w:rsidRPr="00F044FD">
              <w:rPr>
                <w:rFonts w:ascii="Arial" w:eastAsia="Arial" w:hAnsi="Arial" w:cs="Arial"/>
                <w:color w:val="000000"/>
                <w:szCs w:val="22"/>
              </w:rPr>
              <w:t>. Tale impostazione è già stata definita dalla R</w:t>
            </w:r>
            <w:r w:rsidR="00E82796">
              <w:rPr>
                <w:rFonts w:ascii="Arial" w:eastAsia="Arial" w:hAnsi="Arial" w:cs="Arial"/>
                <w:color w:val="000000"/>
                <w:szCs w:val="22"/>
              </w:rPr>
              <w:t xml:space="preserve">agioneria </w:t>
            </w:r>
            <w:r w:rsidRPr="00F044FD">
              <w:rPr>
                <w:rFonts w:ascii="Arial" w:eastAsia="Arial" w:hAnsi="Arial" w:cs="Arial"/>
                <w:color w:val="000000"/>
                <w:szCs w:val="22"/>
              </w:rPr>
              <w:t>G</w:t>
            </w:r>
            <w:r w:rsidR="00E82796">
              <w:rPr>
                <w:rFonts w:ascii="Arial" w:eastAsia="Arial" w:hAnsi="Arial" w:cs="Arial"/>
                <w:color w:val="000000"/>
                <w:szCs w:val="22"/>
              </w:rPr>
              <w:t xml:space="preserve">enerale dello </w:t>
            </w:r>
            <w:r w:rsidRPr="00F044FD">
              <w:rPr>
                <w:rFonts w:ascii="Arial" w:eastAsia="Arial" w:hAnsi="Arial" w:cs="Arial"/>
                <w:color w:val="000000"/>
                <w:szCs w:val="22"/>
              </w:rPr>
              <w:t>S</w:t>
            </w:r>
            <w:r w:rsidR="00E82796">
              <w:rPr>
                <w:rFonts w:ascii="Arial" w:eastAsia="Arial" w:hAnsi="Arial" w:cs="Arial"/>
                <w:color w:val="000000"/>
                <w:szCs w:val="22"/>
              </w:rPr>
              <w:t>tato</w:t>
            </w:r>
            <w:r w:rsidRPr="00F044FD">
              <w:rPr>
                <w:rFonts w:ascii="Arial" w:eastAsia="Arial" w:hAnsi="Arial" w:cs="Arial"/>
                <w:color w:val="000000"/>
                <w:szCs w:val="22"/>
              </w:rPr>
              <w:t xml:space="preserve"> con la Circolare 5/2020.</w:t>
            </w:r>
          </w:p>
          <w:p w14:paraId="02A3D1B5" w14:textId="0945D3A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Inoltre, il comma </w:t>
            </w:r>
            <w:r w:rsidR="001B4A48">
              <w:rPr>
                <w:rFonts w:ascii="Arial" w:eastAsia="Arial" w:hAnsi="Arial" w:cs="Arial"/>
                <w:color w:val="000000"/>
                <w:szCs w:val="22"/>
              </w:rPr>
              <w:t>7</w:t>
            </w:r>
            <w:r w:rsidRPr="00F044FD">
              <w:rPr>
                <w:rFonts w:ascii="Arial" w:eastAsia="Arial" w:hAnsi="Arial" w:cs="Arial"/>
                <w:color w:val="000000"/>
                <w:szCs w:val="22"/>
              </w:rPr>
              <w:t>9</w:t>
            </w:r>
            <w:r w:rsidR="001B4A48">
              <w:rPr>
                <w:rFonts w:ascii="Arial" w:eastAsia="Arial" w:hAnsi="Arial" w:cs="Arial"/>
                <w:color w:val="000000"/>
                <w:szCs w:val="22"/>
              </w:rPr>
              <w:t>2</w:t>
            </w:r>
            <w:r w:rsidRPr="00F044FD">
              <w:rPr>
                <w:rFonts w:ascii="Arial" w:eastAsia="Arial" w:hAnsi="Arial" w:cs="Arial"/>
                <w:color w:val="000000"/>
                <w:szCs w:val="22"/>
              </w:rPr>
              <w:t xml:space="preserve"> </w:t>
            </w:r>
            <w:r w:rsidR="00AF7672" w:rsidRPr="00F044FD">
              <w:rPr>
                <w:rFonts w:ascii="Arial" w:eastAsia="Arial" w:hAnsi="Arial" w:cs="Arial"/>
                <w:color w:val="000000"/>
                <w:szCs w:val="22"/>
              </w:rPr>
              <w:t xml:space="preserve">dell’articolo 1 della </w:t>
            </w:r>
            <w:r w:rsidR="00AF7672">
              <w:rPr>
                <w:rFonts w:ascii="Arial" w:eastAsia="Arial" w:hAnsi="Arial" w:cs="Arial"/>
                <w:color w:val="000000"/>
                <w:szCs w:val="22"/>
              </w:rPr>
              <w:t>Legge</w:t>
            </w:r>
            <w:r w:rsidR="00AF7672" w:rsidRPr="00AF7672">
              <w:rPr>
                <w:rFonts w:ascii="Arial" w:eastAsia="Arial" w:hAnsi="Arial" w:cs="Arial"/>
                <w:color w:val="000000"/>
                <w:szCs w:val="22"/>
              </w:rPr>
              <w:t xml:space="preserve"> 30 dicembre 2024, n. 207 </w:t>
            </w:r>
            <w:r w:rsidR="00AF7672">
              <w:rPr>
                <w:rFonts w:ascii="Arial" w:eastAsia="Arial" w:hAnsi="Arial" w:cs="Arial"/>
                <w:color w:val="000000"/>
                <w:szCs w:val="22"/>
              </w:rPr>
              <w:t xml:space="preserve">- </w:t>
            </w:r>
            <w:r w:rsidR="00AF7672" w:rsidRPr="00F044FD">
              <w:rPr>
                <w:rFonts w:ascii="Arial" w:eastAsia="Arial" w:hAnsi="Arial" w:cs="Arial"/>
                <w:color w:val="000000"/>
                <w:szCs w:val="22"/>
              </w:rPr>
              <w:t>L</w:t>
            </w:r>
            <w:r w:rsidR="00AF7672">
              <w:rPr>
                <w:rFonts w:ascii="Arial" w:eastAsia="Arial" w:hAnsi="Arial" w:cs="Arial"/>
                <w:color w:val="000000"/>
                <w:szCs w:val="22"/>
              </w:rPr>
              <w:t xml:space="preserve">egge di </w:t>
            </w:r>
            <w:r w:rsidR="00AF7672" w:rsidRPr="00F044FD">
              <w:rPr>
                <w:rFonts w:ascii="Arial" w:eastAsia="Arial" w:hAnsi="Arial" w:cs="Arial"/>
                <w:color w:val="000000"/>
                <w:szCs w:val="22"/>
              </w:rPr>
              <w:t>B</w:t>
            </w:r>
            <w:r w:rsidR="00AF7672">
              <w:rPr>
                <w:rFonts w:ascii="Arial" w:eastAsia="Arial" w:hAnsi="Arial" w:cs="Arial"/>
                <w:color w:val="000000"/>
                <w:szCs w:val="22"/>
              </w:rPr>
              <w:t>ilancio</w:t>
            </w:r>
            <w:r w:rsidR="00AF7672" w:rsidRPr="00F044FD">
              <w:rPr>
                <w:rFonts w:ascii="Arial" w:eastAsia="Arial" w:hAnsi="Arial" w:cs="Arial"/>
                <w:color w:val="000000"/>
                <w:szCs w:val="22"/>
              </w:rPr>
              <w:t xml:space="preserve"> 2025</w:t>
            </w:r>
            <w:r w:rsidR="00AF7672">
              <w:rPr>
                <w:rFonts w:ascii="Arial" w:eastAsia="Arial" w:hAnsi="Arial" w:cs="Arial"/>
                <w:color w:val="000000"/>
                <w:szCs w:val="22"/>
              </w:rPr>
              <w:t xml:space="preserve">- </w:t>
            </w:r>
            <w:r w:rsidRPr="00F044FD">
              <w:rPr>
                <w:rFonts w:ascii="Arial" w:eastAsia="Arial" w:hAnsi="Arial" w:cs="Arial"/>
                <w:color w:val="000000"/>
                <w:szCs w:val="22"/>
              </w:rPr>
              <w:t>prevede le modalità di verifica annuale del rispetto dell’equilibrio di bilancio e/o e dell’accantonamento al fondo pari al contributo annuale alla finanza pubblica da parte dei singoli enti (cfr</w:t>
            </w:r>
            <w:r>
              <w:rPr>
                <w:rFonts w:ascii="Arial" w:eastAsia="Arial" w:hAnsi="Arial" w:cs="Arial"/>
                <w:color w:val="000000"/>
                <w:szCs w:val="22"/>
              </w:rPr>
              <w:t>.</w:t>
            </w:r>
            <w:r w:rsidRPr="00F044FD">
              <w:rPr>
                <w:rFonts w:ascii="Arial" w:eastAsia="Arial" w:hAnsi="Arial" w:cs="Arial"/>
                <w:color w:val="000000"/>
                <w:szCs w:val="22"/>
              </w:rPr>
              <w:t xml:space="preserve"> </w:t>
            </w:r>
            <w:r>
              <w:rPr>
                <w:rFonts w:ascii="Arial" w:eastAsia="Arial" w:hAnsi="Arial" w:cs="Arial"/>
                <w:color w:val="000000"/>
                <w:szCs w:val="22"/>
              </w:rPr>
              <w:t>box</w:t>
            </w:r>
            <w:r w:rsidRPr="00F044FD">
              <w:rPr>
                <w:rFonts w:ascii="Arial" w:eastAsia="Arial" w:hAnsi="Arial" w:cs="Arial"/>
                <w:color w:val="000000"/>
                <w:szCs w:val="22"/>
              </w:rPr>
              <w:t xml:space="preserve"> </w:t>
            </w:r>
            <w:r>
              <w:rPr>
                <w:rFonts w:ascii="Arial" w:eastAsia="Arial" w:hAnsi="Arial" w:cs="Arial"/>
                <w:color w:val="000000"/>
                <w:szCs w:val="22"/>
              </w:rPr>
              <w:t>§</w:t>
            </w:r>
            <w:r w:rsidRPr="00F044FD">
              <w:rPr>
                <w:rFonts w:ascii="Arial" w:eastAsia="Arial" w:hAnsi="Arial" w:cs="Arial"/>
                <w:color w:val="000000"/>
                <w:szCs w:val="22"/>
              </w:rPr>
              <w:t xml:space="preserve"> 8 Fondi), disponendo che: </w:t>
            </w:r>
          </w:p>
          <w:p w14:paraId="61B0AB79"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è effettuata sulla base dei rendiconti trasmessi alla Bdap; </w:t>
            </w:r>
          </w:p>
          <w:p w14:paraId="51AF2CEE" w14:textId="3183751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dell’equilibrio di bilancio disciplinato al comma </w:t>
            </w:r>
            <w:r w:rsidR="001B4A48">
              <w:rPr>
                <w:rFonts w:ascii="Arial" w:eastAsia="Arial" w:hAnsi="Arial" w:cs="Arial"/>
                <w:color w:val="000000"/>
                <w:szCs w:val="22"/>
              </w:rPr>
              <w:t>785</w:t>
            </w:r>
            <w:r w:rsidRPr="00F044FD">
              <w:rPr>
                <w:rFonts w:ascii="Arial" w:eastAsia="Arial" w:hAnsi="Arial" w:cs="Arial"/>
                <w:color w:val="000000"/>
                <w:szCs w:val="22"/>
              </w:rPr>
              <w:t xml:space="preserve"> e dell’accantonamento di cui al comma </w:t>
            </w:r>
            <w:r w:rsidR="001B4A48">
              <w:rPr>
                <w:rFonts w:ascii="Arial" w:eastAsia="Arial" w:hAnsi="Arial" w:cs="Arial"/>
                <w:color w:val="000000"/>
                <w:szCs w:val="22"/>
              </w:rPr>
              <w:t>789</w:t>
            </w:r>
            <w:r w:rsidRPr="00F044FD">
              <w:rPr>
                <w:rFonts w:ascii="Arial" w:eastAsia="Arial" w:hAnsi="Arial" w:cs="Arial"/>
                <w:color w:val="000000"/>
                <w:szCs w:val="22"/>
              </w:rPr>
              <w:t xml:space="preserve"> è effettuata a livello di comparto degli enti territoriali; </w:t>
            </w:r>
          </w:p>
          <w:p w14:paraId="485B8D7D" w14:textId="56CDD5A2"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nel caso di mancato rispetto degli obiettivi di comparto, sono individuati gli enti inadempienti con </w:t>
            </w:r>
            <w:r w:rsidR="001B4A48">
              <w:rPr>
                <w:rFonts w:ascii="Arial" w:eastAsia="Arial" w:hAnsi="Arial" w:cs="Arial"/>
                <w:color w:val="000000"/>
                <w:szCs w:val="22"/>
              </w:rPr>
              <w:t>decreto</w:t>
            </w:r>
            <w:r w:rsidRPr="00F044FD">
              <w:rPr>
                <w:rFonts w:ascii="Arial" w:eastAsia="Arial" w:hAnsi="Arial" w:cs="Arial"/>
                <w:color w:val="000000"/>
                <w:szCs w:val="22"/>
              </w:rPr>
              <w:t xml:space="preserve"> del MEF, entro il 30 giugno di ciascun esercizio dal 2026 al 2030. Con il medesimo decreto è determinato l’importo dell’incremento del fondo che gli enti inadempienti sono tenuti ad iscrivere, nei successivi 30 giorni, nel bilancio di previsione con riferimento all’esercizio in corso di gestione. In particolare, gli enti inadempienti</w:t>
            </w:r>
            <w:r w:rsidR="001B4A48">
              <w:rPr>
                <w:rFonts w:ascii="Arial" w:eastAsia="Arial" w:hAnsi="Arial" w:cs="Arial"/>
                <w:color w:val="000000"/>
                <w:szCs w:val="22"/>
              </w:rPr>
              <w:t>, ad esempio,</w:t>
            </w:r>
            <w:r w:rsidRPr="00F044FD">
              <w:rPr>
                <w:rFonts w:ascii="Arial" w:eastAsia="Arial" w:hAnsi="Arial" w:cs="Arial"/>
                <w:color w:val="000000"/>
                <w:szCs w:val="22"/>
              </w:rPr>
              <w:t xml:space="preserve"> con riferimento all’esercizio 2025 dovranno, come sanzione, incrementare il fondo accantonamento nel 2026 con variazione di bilancio per un importo pari alla sommatoria in valore assoluto: </w:t>
            </w:r>
          </w:p>
          <w:p w14:paraId="7B4FC4E1" w14:textId="4751F3A2"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a) del saldo W2</w:t>
            </w:r>
            <w:r w:rsidR="001B4A48">
              <w:rPr>
                <w:rFonts w:ascii="Arial" w:eastAsia="Arial" w:hAnsi="Arial" w:cs="Arial"/>
                <w:color w:val="000000"/>
                <w:szCs w:val="22"/>
              </w:rPr>
              <w:t>, di cui al comma 789, registrato nell’esercizio precedente (</w:t>
            </w:r>
            <w:r w:rsidR="001B4A48" w:rsidRPr="00F044FD">
              <w:rPr>
                <w:rFonts w:ascii="Arial" w:eastAsia="Arial" w:hAnsi="Arial" w:cs="Arial"/>
                <w:color w:val="000000"/>
                <w:szCs w:val="22"/>
              </w:rPr>
              <w:t>come da rendiconto 2025</w:t>
            </w:r>
            <w:r w:rsidR="001B4A48">
              <w:rPr>
                <w:rFonts w:ascii="Arial" w:eastAsia="Arial" w:hAnsi="Arial" w:cs="Arial"/>
                <w:color w:val="000000"/>
                <w:szCs w:val="22"/>
              </w:rPr>
              <w:t>)</w:t>
            </w:r>
            <w:r w:rsidR="00AF7672">
              <w:rPr>
                <w:rFonts w:ascii="Arial" w:eastAsia="Arial" w:hAnsi="Arial" w:cs="Arial"/>
                <w:color w:val="000000"/>
                <w:szCs w:val="22"/>
              </w:rPr>
              <w:t xml:space="preserve"> </w:t>
            </w:r>
            <w:r w:rsidRPr="00F044FD">
              <w:rPr>
                <w:rFonts w:ascii="Arial" w:eastAsia="Arial" w:hAnsi="Arial" w:cs="Arial"/>
                <w:color w:val="000000"/>
                <w:szCs w:val="22"/>
              </w:rPr>
              <w:t xml:space="preserve">se negativo; </w:t>
            </w:r>
          </w:p>
          <w:p w14:paraId="7EE82FC0" w14:textId="36CBA2B2" w:rsid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b) del minore accantonamento del fondo </w:t>
            </w:r>
            <w:r w:rsidR="001B4A48">
              <w:rPr>
                <w:rFonts w:ascii="Arial" w:eastAsia="Arial" w:hAnsi="Arial" w:cs="Arial"/>
                <w:color w:val="000000"/>
                <w:szCs w:val="22"/>
              </w:rPr>
              <w:t xml:space="preserve">di cui al comma 789 (fondo </w:t>
            </w:r>
            <w:r w:rsidRPr="00F044FD">
              <w:rPr>
                <w:rFonts w:ascii="Arial" w:eastAsia="Arial" w:hAnsi="Arial" w:cs="Arial"/>
                <w:color w:val="000000"/>
                <w:szCs w:val="22"/>
              </w:rPr>
              <w:t>2025</w:t>
            </w:r>
            <w:r w:rsidR="001B4A48">
              <w:rPr>
                <w:rFonts w:ascii="Arial" w:eastAsia="Arial" w:hAnsi="Arial" w:cs="Arial"/>
                <w:color w:val="000000"/>
                <w:szCs w:val="22"/>
              </w:rPr>
              <w:t>)</w:t>
            </w:r>
            <w:r w:rsidRPr="00F044FD">
              <w:rPr>
                <w:rFonts w:ascii="Arial" w:eastAsia="Arial" w:hAnsi="Arial" w:cs="Arial"/>
                <w:color w:val="000000"/>
                <w:szCs w:val="22"/>
              </w:rPr>
              <w:t xml:space="preserve"> rispetto al contributo annuale alla finanza pubblica stabilito per il 2025.</w:t>
            </w:r>
          </w:p>
        </w:tc>
      </w:tr>
      <w:bookmarkEnd w:id="28"/>
    </w:tbl>
    <w:p w14:paraId="1B793CF8" w14:textId="77777777" w:rsidR="00F044FD" w:rsidRDefault="00F044FD" w:rsidP="000F434D">
      <w:pPr>
        <w:pBdr>
          <w:top w:val="nil"/>
          <w:left w:val="nil"/>
          <w:bottom w:val="nil"/>
          <w:right w:val="nil"/>
          <w:between w:val="nil"/>
        </w:pBdr>
        <w:spacing w:line="240" w:lineRule="auto"/>
        <w:ind w:hanging="2"/>
        <w:rPr>
          <w:rFonts w:ascii="Arial" w:eastAsia="Arial" w:hAnsi="Arial" w:cs="Arial"/>
          <w:color w:val="000000"/>
          <w:szCs w:val="22"/>
        </w:rPr>
      </w:pPr>
    </w:p>
    <w:p w14:paraId="2B7CE115" w14:textId="322C2CF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CD4893B" w14:textId="621B01AF" w:rsidR="00DE45D7" w:rsidRPr="00C81F0F" w:rsidRDefault="000F434D" w:rsidP="00F044F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w:t>
      </w:r>
      <w:r w:rsidR="00E82796">
        <w:rPr>
          <w:rFonts w:ascii="Arial" w:eastAsia="Arial" w:hAnsi="Arial" w:cs="Arial"/>
          <w:b/>
          <w:i/>
          <w:color w:val="00B0F0"/>
          <w:szCs w:val="22"/>
        </w:rPr>
        <w:t xml:space="preserve">agioneria </w:t>
      </w:r>
      <w:r w:rsidR="004D7BBE">
        <w:rPr>
          <w:rFonts w:ascii="Arial" w:eastAsia="Arial" w:hAnsi="Arial" w:cs="Arial"/>
          <w:b/>
          <w:i/>
          <w:color w:val="00B0F0"/>
          <w:szCs w:val="22"/>
        </w:rPr>
        <w:t>G</w:t>
      </w:r>
      <w:r w:rsidR="00E82796">
        <w:rPr>
          <w:rFonts w:ascii="Arial" w:eastAsia="Arial" w:hAnsi="Arial" w:cs="Arial"/>
          <w:b/>
          <w:i/>
          <w:color w:val="00B0F0"/>
          <w:szCs w:val="22"/>
        </w:rPr>
        <w:t xml:space="preserve">enerale dello </w:t>
      </w:r>
      <w:r w:rsidR="004D7BBE">
        <w:rPr>
          <w:rFonts w:ascii="Arial" w:eastAsia="Arial" w:hAnsi="Arial" w:cs="Arial"/>
          <w:b/>
          <w:i/>
          <w:color w:val="00B0F0"/>
          <w:szCs w:val="22"/>
        </w:rPr>
        <w:t>S</w:t>
      </w:r>
      <w:r w:rsidR="00E82796">
        <w:rPr>
          <w:rFonts w:ascii="Arial" w:eastAsia="Arial" w:hAnsi="Arial" w:cs="Arial"/>
          <w:b/>
          <w:i/>
          <w:color w:val="00B0F0"/>
          <w:szCs w:val="22"/>
        </w:rPr>
        <w:t>tato,</w:t>
      </w:r>
      <w:r w:rsidR="004D7BBE">
        <w:rPr>
          <w:rFonts w:ascii="Arial" w:eastAsia="Arial" w:hAnsi="Arial" w:cs="Arial"/>
          <w:b/>
          <w:i/>
          <w:color w:val="00B0F0"/>
          <w:szCs w:val="22"/>
        </w:rPr>
        <w:t xml:space="preserve">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E82796">
        <w:rPr>
          <w:rFonts w:ascii="Arial" w:eastAsia="Arial" w:hAnsi="Arial" w:cs="Arial"/>
          <w:b/>
          <w:i/>
          <w:color w:val="00B0F0"/>
          <w:szCs w:val="22"/>
        </w:rPr>
        <w:t>,</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 xml:space="preserve">sono tenuti a rispettare esclusivamente gli equilibri di cui </w:t>
      </w:r>
      <w:r w:rsidRPr="006D6272">
        <w:rPr>
          <w:rFonts w:ascii="Arial" w:eastAsia="Arial" w:hAnsi="Arial" w:cs="Arial"/>
          <w:b/>
          <w:i/>
          <w:color w:val="00B0F0"/>
          <w:szCs w:val="22"/>
        </w:rPr>
        <w:t>a</w:t>
      </w:r>
      <w:r w:rsidR="00B57E0D" w:rsidRPr="006D6272">
        <w:rPr>
          <w:rFonts w:ascii="Arial" w:eastAsia="Arial" w:hAnsi="Arial" w:cs="Arial"/>
          <w:b/>
          <w:i/>
          <w:color w:val="00B0F0"/>
          <w:szCs w:val="22"/>
        </w:rPr>
        <w:t>i</w:t>
      </w:r>
      <w:r w:rsidRPr="00C81F0F">
        <w:rPr>
          <w:rFonts w:ascii="Arial" w:eastAsia="Arial" w:hAnsi="Arial" w:cs="Arial"/>
          <w:b/>
          <w:i/>
          <w:color w:val="00B0F0"/>
          <w:szCs w:val="22"/>
        </w:rPr>
        <w:t xml:space="preserve">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w:t>
      </w:r>
      <w:r w:rsidR="00E82796">
        <w:rPr>
          <w:rFonts w:ascii="Arial" w:eastAsia="Arial" w:hAnsi="Arial" w:cs="Arial"/>
          <w:b/>
          <w:i/>
          <w:color w:val="00B0F0"/>
          <w:szCs w:val="22"/>
        </w:rPr>
        <w:t>n.</w:t>
      </w:r>
      <w:r w:rsidR="000E379B">
        <w:rPr>
          <w:rFonts w:ascii="Arial" w:eastAsia="Arial" w:hAnsi="Arial" w:cs="Arial"/>
          <w:b/>
          <w:i/>
          <w:color w:val="00B0F0"/>
          <w:szCs w:val="22"/>
        </w:rPr>
        <w:t>267/2000</w:t>
      </w:r>
      <w:r w:rsidRPr="00C81F0F">
        <w:rPr>
          <w:rFonts w:ascii="Arial" w:eastAsia="Arial" w:hAnsi="Arial" w:cs="Arial"/>
          <w:b/>
          <w:i/>
          <w:color w:val="00B0F0"/>
          <w:szCs w:val="22"/>
        </w:rPr>
        <w:t>.</w:t>
      </w: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Pr="004B4CFE" w:rsidRDefault="000F434D" w:rsidP="000F434D">
      <w:pPr>
        <w:pBdr>
          <w:top w:val="nil"/>
          <w:left w:val="nil"/>
          <w:bottom w:val="nil"/>
          <w:right w:val="nil"/>
          <w:between w:val="nil"/>
        </w:pBdr>
        <w:spacing w:line="240" w:lineRule="auto"/>
        <w:rPr>
          <w:rFonts w:ascii="Arial" w:eastAsia="Arial" w:hAnsi="Arial" w:cs="Arial"/>
          <w:color w:val="auto"/>
          <w:szCs w:val="22"/>
        </w:rPr>
      </w:pPr>
      <w:r w:rsidRPr="004B4CFE">
        <w:rPr>
          <w:rFonts w:ascii="Arial" w:eastAsia="Arial" w:hAnsi="Arial" w:cs="Arial"/>
          <w:color w:val="auto"/>
          <w:szCs w:val="22"/>
        </w:rPr>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p>
    <w:p w14:paraId="12E44E2B" w14:textId="505E4C95"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3D9955D7" w:rsidR="003C46F2" w:rsidRPr="004B4CFE" w:rsidRDefault="006F3F23"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pt;height:90pt" o:ole="">
            <v:imagedata r:id="rId21" o:title=""/>
          </v:shape>
          <o:OLEObject Type="Embed" ProgID="Excel.Sheet.12" ShapeID="_x0000_i1025" DrawAspect="Content" ObjectID="_1798534125" r:id="rId22"/>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49998B41" w14:textId="77777777" w:rsidR="005F5FD5" w:rsidRDefault="005F5FD5"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181700854"/>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74ECD4A"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5F5FD5">
        <w:rPr>
          <w:rFonts w:ascii="Arial" w:eastAsia="Arial" w:hAnsi="Arial" w:cs="Arial"/>
          <w:b/>
          <w:bCs/>
          <w:i/>
          <w:color w:val="00B0F0"/>
          <w:szCs w:val="22"/>
        </w:rPr>
        <w:t>4</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39797374"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006F3F23" w:rsidRPr="004B4CFE">
        <w:rPr>
          <w:rFonts w:ascii="Arial" w:eastAsia="Arial" w:hAnsi="Arial" w:cs="Arial"/>
          <w:b/>
          <w:bCs/>
          <w:color w:val="auto"/>
          <w:szCs w:val="22"/>
        </w:rPr>
        <w:t xml:space="preserve">/ non </w:t>
      </w:r>
      <w:r w:rsidRPr="004B4CFE">
        <w:rPr>
          <w:rFonts w:ascii="Arial" w:eastAsia="Arial" w:hAnsi="Arial" w:cs="Arial"/>
          <w:b/>
          <w:bCs/>
          <w:color w:val="auto"/>
          <w:szCs w:val="22"/>
        </w:rPr>
        <w:t>versate</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del </w:t>
      </w:r>
      <w:r w:rsidR="000F434D" w:rsidRPr="004B4CFE">
        <w:rPr>
          <w:rFonts w:ascii="Arial" w:eastAsia="Arial" w:hAnsi="Arial" w:cs="Arial"/>
          <w:i/>
          <w:iCs/>
          <w:color w:val="auto"/>
        </w:rPr>
        <w:t>trend</w:t>
      </w:r>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r w:rsidRPr="004B4CFE">
        <w:rPr>
          <w:rFonts w:ascii="Arial" w:eastAsia="Arial" w:hAnsi="Arial" w:cs="Arial"/>
          <w:color w:val="auto"/>
        </w:rPr>
        <w:t>;</w:t>
      </w:r>
    </w:p>
    <w:p w14:paraId="0523071E" w14:textId="7E6D9ECC" w:rsidR="000F434D" w:rsidRPr="004B4CFE"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ritiene che: </w:t>
      </w:r>
    </w:p>
    <w:p w14:paraId="3FB663D2" w14:textId="1DE900D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532041EF" w14:textId="097FC496"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7B411444"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01.01.202</w:t>
      </w:r>
      <w:r w:rsidR="005F5FD5" w:rsidRPr="00E82796">
        <w:rPr>
          <w:rFonts w:ascii="Arial" w:eastAsia="Arial" w:hAnsi="Arial" w:cs="Arial"/>
          <w:color w:val="auto"/>
          <w:szCs w:val="22"/>
        </w:rPr>
        <w:t>5</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5F5FD5" w:rsidRPr="00E82796">
        <w:rPr>
          <w:rFonts w:ascii="Arial" w:eastAsia="Arial" w:hAnsi="Arial" w:cs="Arial"/>
          <w:i/>
          <w:iCs/>
          <w:color w:val="auto"/>
          <w:szCs w:val="22"/>
        </w:rPr>
        <w:t>4</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DF205A" w:rsidRPr="00E82796">
        <w:rPr>
          <w:rFonts w:ascii="Arial" w:eastAsia="Arial" w:hAnsi="Arial" w:cs="Arial"/>
          <w:b/>
          <w:bCs/>
          <w:color w:val="auto"/>
          <w:szCs w:val="22"/>
        </w:rPr>
        <w:t xml:space="preserve">si  </w:t>
      </w:r>
      <w:r w:rsidR="00D12016" w:rsidRPr="00E82796">
        <w:rPr>
          <w:rFonts w:ascii="Arial" w:eastAsia="Arial" w:hAnsi="Arial" w:cs="Arial"/>
          <w:b/>
          <w:bCs/>
          <w:color w:val="auto"/>
          <w:szCs w:val="22"/>
        </w:rPr>
        <w:t xml:space="preserve">sia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2"/>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2F992A21"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7ECFF745" w14:textId="77777777" w:rsidTr="000218BC">
        <w:tc>
          <w:tcPr>
            <w:tcW w:w="9060" w:type="dxa"/>
            <w:shd w:val="clear" w:color="auto" w:fill="FFFFFF" w:themeFill="background1"/>
          </w:tcPr>
          <w:p w14:paraId="25E57778" w14:textId="59EE3D17" w:rsidR="009A19A4" w:rsidRPr="009A19A4" w:rsidRDefault="00390923" w:rsidP="009A19A4">
            <w:pPr>
              <w:spacing w:line="240" w:lineRule="auto"/>
              <w:ind w:left="0" w:hanging="2"/>
              <w:rPr>
                <w:rFonts w:ascii="Arial" w:eastAsia="Arial" w:hAnsi="Arial" w:cs="Arial"/>
                <w:color w:val="000000"/>
                <w:szCs w:val="22"/>
              </w:rPr>
            </w:pPr>
            <w:r w:rsidRPr="00390923">
              <w:rPr>
                <w:rFonts w:ascii="Arial" w:eastAsia="Arial" w:hAnsi="Arial" w:cs="Arial"/>
                <w:color w:val="000000"/>
                <w:szCs w:val="22"/>
              </w:rPr>
              <w:t>L’art. 6 co.1 del D.</w:t>
            </w:r>
            <w:r w:rsidR="002B08C9">
              <w:rPr>
                <w:rFonts w:ascii="Arial" w:eastAsia="Arial" w:hAnsi="Arial" w:cs="Arial"/>
                <w:color w:val="000000"/>
                <w:szCs w:val="22"/>
              </w:rPr>
              <w:t>L</w:t>
            </w:r>
            <w:r w:rsidRPr="00390923">
              <w:rPr>
                <w:rFonts w:ascii="Arial" w:eastAsia="Arial" w:hAnsi="Arial" w:cs="Arial"/>
                <w:color w:val="000000"/>
                <w:szCs w:val="22"/>
              </w:rPr>
              <w:t>. 19 ottobre 2024 n. 155 dispone che, al fine di rafforzare le misure già previste per la riduzione dei tempi di pagamento, dando attuazione alla milestone M1C1-72-bis del PNRR, le amministrazioni pubbliche di cui all'articolo 1, comma 2, del decreto legislativo 30 marzo 2001, n. 165, adottano entro il 28 febbraio di ciascun anno, un piano annuale dei flussi di cassa, contenente un cronoprogramma dei pagamenti e degli incassi relativi all'esercizio di riferimento</w:t>
            </w:r>
            <w:r w:rsidR="00CC7C87">
              <w:rPr>
                <w:rFonts w:ascii="Arial" w:eastAsia="Arial" w:hAnsi="Arial" w:cs="Arial"/>
                <w:color w:val="000000"/>
                <w:szCs w:val="22"/>
              </w:rPr>
              <w:t>, redatto sulla base del</w:t>
            </w:r>
            <w:r w:rsidR="00E74C21">
              <w:rPr>
                <w:rFonts w:ascii="Arial" w:eastAsia="Arial" w:hAnsi="Arial" w:cs="Arial"/>
                <w:color w:val="000000"/>
                <w:szCs w:val="22"/>
              </w:rPr>
              <w:t xml:space="preserve"> modello </w:t>
            </w:r>
            <w:r w:rsidR="00CC7C87">
              <w:rPr>
                <w:rFonts w:ascii="Arial" w:eastAsia="Arial" w:hAnsi="Arial" w:cs="Arial"/>
                <w:color w:val="000000"/>
                <w:szCs w:val="22"/>
              </w:rPr>
              <w:t xml:space="preserve">che </w:t>
            </w:r>
            <w:r w:rsidR="00E74C21">
              <w:rPr>
                <w:rFonts w:ascii="Arial" w:eastAsia="Arial" w:hAnsi="Arial" w:cs="Arial"/>
                <w:color w:val="000000"/>
                <w:szCs w:val="22"/>
              </w:rPr>
              <w:t>è stato messo a disposizione sul sito del MEF</w:t>
            </w:r>
            <w:r w:rsidR="00CC7C87">
              <w:rPr>
                <w:rFonts w:ascii="Arial" w:eastAsia="Arial" w:hAnsi="Arial" w:cs="Arial"/>
                <w:color w:val="000000"/>
                <w:szCs w:val="22"/>
              </w:rPr>
              <w:t xml:space="preserve"> </w:t>
            </w:r>
            <w:r w:rsidR="00E74C21">
              <w:rPr>
                <w:rFonts w:ascii="Arial" w:eastAsia="Arial" w:hAnsi="Arial" w:cs="Arial"/>
                <w:color w:val="000000"/>
                <w:szCs w:val="22"/>
              </w:rPr>
              <w:t xml:space="preserve">e disponibile a questo </w:t>
            </w:r>
            <w:r w:rsidR="00CC7C87">
              <w:rPr>
                <w:rFonts w:ascii="Arial" w:eastAsia="Arial" w:hAnsi="Arial" w:cs="Arial"/>
                <w:color w:val="000000"/>
                <w:szCs w:val="22"/>
              </w:rPr>
              <w:t xml:space="preserve">link </w:t>
            </w:r>
            <w:hyperlink r:id="rId23" w:history="1">
              <w:r w:rsidR="00CC7C87" w:rsidRPr="00F3329F">
                <w:rPr>
                  <w:rStyle w:val="Collegamentoipertestuale"/>
                  <w:rFonts w:ascii="Arial" w:eastAsia="Arial" w:hAnsi="Arial" w:cs="Arial"/>
                  <w:szCs w:val="22"/>
                </w:rPr>
                <w:t>https://www.rgs.mef.gov.it/VERSIONE-I/e_government/amministrazioni_pubbliche/arconet/</w:t>
              </w:r>
            </w:hyperlink>
            <w:r w:rsidR="00CC7C87">
              <w:rPr>
                <w:rFonts w:ascii="Arial" w:eastAsia="Arial" w:hAnsi="Arial" w:cs="Arial"/>
                <w:color w:val="000000"/>
                <w:szCs w:val="22"/>
              </w:rPr>
              <w:t>. Il</w:t>
            </w:r>
            <w:r w:rsidRPr="00390923">
              <w:rPr>
                <w:rFonts w:ascii="Arial" w:eastAsia="Arial" w:hAnsi="Arial" w:cs="Arial"/>
                <w:color w:val="000000"/>
                <w:szCs w:val="22"/>
              </w:rPr>
              <w:t xml:space="preserve"> modello dovrà essere coerente con le previsioni di cassa autorizzatorie che gli enti devono già predisporre in sede di bilancio di previsione per poi gestirle in corso di esercizio. </w:t>
            </w:r>
            <w:r w:rsidR="009A19A4">
              <w:rPr>
                <w:rFonts w:ascii="Arial" w:eastAsia="Arial" w:hAnsi="Arial" w:cs="Arial"/>
                <w:color w:val="000000"/>
                <w:szCs w:val="22"/>
              </w:rPr>
              <w:t>G</w:t>
            </w:r>
            <w:r w:rsidR="009A19A4" w:rsidRPr="009A19A4">
              <w:rPr>
                <w:rFonts w:ascii="Arial" w:eastAsia="Arial" w:hAnsi="Arial" w:cs="Arial"/>
                <w:color w:val="000000"/>
                <w:szCs w:val="22"/>
              </w:rPr>
              <w:t>li enti sono invitati a verificare trimestralmente le previsioni, ad aggiornare il Piano annuale dei flussi di cassa e a dare comunicazione alla Giunta/organo esecutivo dell'attuazione del Piano.</w:t>
            </w:r>
          </w:p>
          <w:p w14:paraId="6F25106E" w14:textId="77777777" w:rsidR="009A19A4" w:rsidRPr="009A19A4" w:rsidRDefault="009A19A4" w:rsidP="009A19A4">
            <w:pPr>
              <w:spacing w:line="240" w:lineRule="auto"/>
              <w:ind w:left="0" w:hanging="2"/>
              <w:rPr>
                <w:rFonts w:ascii="Arial" w:eastAsia="Arial" w:hAnsi="Arial" w:cs="Arial"/>
                <w:color w:val="000000"/>
                <w:szCs w:val="22"/>
              </w:rPr>
            </w:pPr>
            <w:r w:rsidRPr="009A19A4">
              <w:rPr>
                <w:rFonts w:ascii="Arial" w:eastAsia="Arial" w:hAnsi="Arial" w:cs="Arial"/>
                <w:color w:val="000000"/>
                <w:szCs w:val="22"/>
              </w:rPr>
              <w:t>La verifica e l'aggiornamento del prospetto possono, ad esempio, essere effettuati:</w:t>
            </w:r>
          </w:p>
          <w:p w14:paraId="7BF443FE" w14:textId="77777777" w:rsidR="009A19A4" w:rsidRPr="009A19A4" w:rsidRDefault="009A19A4" w:rsidP="009A19A4">
            <w:pPr>
              <w:spacing w:line="240" w:lineRule="auto"/>
              <w:ind w:left="0" w:hanging="2"/>
              <w:rPr>
                <w:rFonts w:ascii="Arial" w:eastAsia="Arial" w:hAnsi="Arial" w:cs="Arial"/>
                <w:color w:val="000000"/>
                <w:szCs w:val="22"/>
              </w:rPr>
            </w:pPr>
            <w:r w:rsidRPr="009A19A4">
              <w:rPr>
                <w:rFonts w:ascii="Arial" w:eastAsia="Arial" w:hAnsi="Arial" w:cs="Arial"/>
                <w:color w:val="000000"/>
                <w:szCs w:val="22"/>
              </w:rPr>
              <w:t>- sostituendo le previsioni del trimestre concluso e i dati SIOPE dei trimestri precedenti con gli importi degli incassi e dei pagamenti effettivi, estratti dalla banca dati SIOPE;</w:t>
            </w:r>
          </w:p>
          <w:p w14:paraId="64E1672D" w14:textId="77777777" w:rsidR="009A19A4" w:rsidRPr="009A19A4" w:rsidRDefault="009A19A4" w:rsidP="009A19A4">
            <w:pPr>
              <w:spacing w:line="240" w:lineRule="auto"/>
              <w:ind w:left="0" w:hanging="2"/>
              <w:rPr>
                <w:rFonts w:ascii="Arial" w:eastAsia="Arial" w:hAnsi="Arial" w:cs="Arial"/>
                <w:color w:val="000000"/>
                <w:szCs w:val="22"/>
              </w:rPr>
            </w:pPr>
            <w:r w:rsidRPr="009A19A4">
              <w:rPr>
                <w:rFonts w:ascii="Arial" w:eastAsia="Arial" w:hAnsi="Arial" w:cs="Arial"/>
                <w:color w:val="000000"/>
                <w:szCs w:val="22"/>
              </w:rPr>
              <w:t>- riformulando di conseguenza le previsioni dei trimestri successivi;</w:t>
            </w:r>
          </w:p>
          <w:p w14:paraId="47C2C28C" w14:textId="36400596" w:rsidR="00390923" w:rsidRDefault="009A19A4" w:rsidP="009A19A4">
            <w:pPr>
              <w:spacing w:line="240" w:lineRule="auto"/>
              <w:ind w:leftChars="0" w:left="2" w:hanging="2"/>
              <w:outlineLvl w:val="9"/>
              <w:rPr>
                <w:rFonts w:ascii="Arial" w:eastAsia="Arial" w:hAnsi="Arial" w:cs="Arial"/>
                <w:color w:val="000000"/>
                <w:szCs w:val="22"/>
              </w:rPr>
            </w:pPr>
            <w:r w:rsidRPr="009A19A4">
              <w:rPr>
                <w:rFonts w:ascii="Arial" w:eastAsia="Arial" w:hAnsi="Arial" w:cs="Arial"/>
                <w:color w:val="000000"/>
                <w:szCs w:val="22"/>
              </w:rPr>
              <w:t>- tenendo conto delle variazioni di bilancio che incidono sulle previsioni trimestrali di cassa.</w:t>
            </w:r>
          </w:p>
          <w:p w14:paraId="6954DC53" w14:textId="6E7AEE25" w:rsidR="00CC7C87" w:rsidRPr="00390923" w:rsidRDefault="00CC7C87" w:rsidP="00390923">
            <w:pPr>
              <w:spacing w:line="240" w:lineRule="auto"/>
              <w:ind w:leftChars="0" w:left="2" w:hanging="2"/>
              <w:outlineLvl w:val="9"/>
              <w:rPr>
                <w:rFonts w:ascii="Arial" w:eastAsia="Arial" w:hAnsi="Arial" w:cs="Arial"/>
                <w:color w:val="000000"/>
                <w:szCs w:val="22"/>
              </w:rPr>
            </w:pPr>
            <w:r>
              <w:rPr>
                <w:rFonts w:ascii="Arial" w:eastAsia="Arial" w:hAnsi="Arial" w:cs="Arial"/>
                <w:color w:val="000000"/>
                <w:szCs w:val="22"/>
              </w:rPr>
              <w:t>Il modello deve essere approvato dalla giunta</w:t>
            </w:r>
            <w:r w:rsidR="009A19A4">
              <w:rPr>
                <w:rFonts w:ascii="Arial" w:eastAsia="Arial" w:hAnsi="Arial" w:cs="Arial"/>
                <w:color w:val="000000"/>
                <w:szCs w:val="22"/>
              </w:rPr>
              <w:t xml:space="preserve"> o dall’organo esecutivo</w:t>
            </w:r>
            <w:r>
              <w:rPr>
                <w:rFonts w:ascii="Arial" w:eastAsia="Arial" w:hAnsi="Arial" w:cs="Arial"/>
                <w:color w:val="000000"/>
                <w:szCs w:val="22"/>
              </w:rPr>
              <w:t xml:space="preserve"> di ogni ente territoriale entro il 28 febbraio</w:t>
            </w:r>
            <w:r w:rsidR="009A19A4">
              <w:rPr>
                <w:rFonts w:ascii="Arial" w:eastAsia="Arial" w:hAnsi="Arial" w:cs="Arial"/>
                <w:color w:val="000000"/>
                <w:szCs w:val="22"/>
              </w:rPr>
              <w:t xml:space="preserve"> (anche nel caso in cui non sia ancora stato approvato il bilancio di previsione 2025-2027)</w:t>
            </w:r>
            <w:r>
              <w:rPr>
                <w:rFonts w:ascii="Arial" w:eastAsia="Arial" w:hAnsi="Arial" w:cs="Arial"/>
                <w:color w:val="000000"/>
                <w:szCs w:val="22"/>
              </w:rPr>
              <w:t xml:space="preserve"> e il suo aggiornamento trimestrale sarà approvato </w:t>
            </w:r>
            <w:r w:rsidR="009A19A4">
              <w:rPr>
                <w:rFonts w:ascii="Arial" w:eastAsia="Arial" w:hAnsi="Arial" w:cs="Arial"/>
                <w:color w:val="000000"/>
                <w:szCs w:val="22"/>
              </w:rPr>
              <w:t>con provvedimento del</w:t>
            </w:r>
            <w:r>
              <w:rPr>
                <w:rFonts w:ascii="Arial" w:eastAsia="Arial" w:hAnsi="Arial" w:cs="Arial"/>
                <w:color w:val="000000"/>
                <w:szCs w:val="22"/>
              </w:rPr>
              <w:t xml:space="preserve"> responsabile del servizio finanziario</w:t>
            </w:r>
            <w:r w:rsidR="009A19A4">
              <w:rPr>
                <w:rFonts w:ascii="Arial" w:eastAsia="Arial" w:hAnsi="Arial" w:cs="Arial"/>
                <w:color w:val="000000"/>
                <w:szCs w:val="22"/>
              </w:rPr>
              <w:t>.</w:t>
            </w:r>
          </w:p>
          <w:p w14:paraId="0243D1B0" w14:textId="15AE5A04" w:rsid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L’art.6 co. 2 del Dl 155/2024 precisa che il competente organo di controllo di regolarità amministrativa e contabile verifica che sia predisposto il piano di cassa. Si rammenta che i revisori già ai sensi della circolare RGS 15 del 5 aprile 2024 sono tenuti a riportare nei loro verbali, per lo meno in quelli relativi alle verifiche trimestrali, i controlli sui tempi di pagamento e sulla dinamica dei flussi di cassa e dovranno, quindi,  anche verificare che gli enti abbiano predisposto il nuovo piano dei flussi di cassa.</w:t>
            </w:r>
          </w:p>
        </w:tc>
      </w:tr>
    </w:tbl>
    <w:p w14:paraId="0B4E03F7"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p w14:paraId="32647E5C" w14:textId="5A22D30F"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2" w:name="_Toc181700855"/>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20D25BC2" w14:textId="0DBEC9CA"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r w:rsidR="00E82796">
        <w:rPr>
          <w:rFonts w:ascii="Arial" w:eastAsia="Arial" w:hAnsi="Arial" w:cs="Arial"/>
          <w:color w:val="000000"/>
          <w:szCs w:val="22"/>
        </w:rPr>
        <w:t>D</w:t>
      </w:r>
      <w:r>
        <w:rPr>
          <w:rFonts w:ascii="Arial" w:eastAsia="Arial" w:hAnsi="Arial" w:cs="Arial"/>
          <w:color w:val="000000"/>
          <w:szCs w:val="22"/>
        </w:rPr>
        <w:t>.l.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3D09ADED"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410959BE"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w:t>
      </w:r>
      <w:r w:rsidR="00E82796">
        <w:rPr>
          <w:rFonts w:ascii="Arial" w:eastAsia="Arial" w:hAnsi="Arial" w:cs="Arial"/>
          <w:i/>
          <w:color w:val="00B0F0"/>
          <w:szCs w:val="22"/>
        </w:rPr>
        <w:t>l</w:t>
      </w:r>
      <w:r>
        <w:rPr>
          <w:rFonts w:ascii="Arial" w:eastAsia="Arial" w:hAnsi="Arial" w:cs="Arial"/>
          <w:i/>
          <w:color w:val="00B0F0"/>
          <w:szCs w:val="22"/>
        </w:rPr>
        <w:t>. n.69/2013.</w:t>
      </w:r>
      <w:r w:rsidRPr="00980DF9">
        <w:rPr>
          <w:rFonts w:ascii="Arial" w:eastAsia="Arial" w:hAnsi="Arial" w:cs="Arial"/>
          <w:i/>
          <w:color w:val="00B0F0"/>
          <w:szCs w:val="22"/>
        </w:rPr>
        <w:t xml:space="preserve"> </w:t>
      </w:r>
    </w:p>
    <w:p w14:paraId="3E5DD525" w14:textId="77777777" w:rsidR="00113EBF" w:rsidRDefault="00113EB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3" w:name="_Toc181700856"/>
    </w:p>
    <w:p w14:paraId="52AC211B" w14:textId="77777777" w:rsidR="00113EBF" w:rsidRDefault="00113EB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p>
    <w:p w14:paraId="729CD448" w14:textId="1E5F055F"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w:t>
      </w:r>
      <w:r w:rsidR="00E82796">
        <w:rPr>
          <w:rFonts w:ascii="Arial" w:eastAsia="Arial" w:hAnsi="Arial" w:cs="Arial"/>
          <w:color w:val="000000"/>
          <w:szCs w:val="22"/>
        </w:rPr>
        <w:t>l</w:t>
      </w:r>
      <w:r w:rsidR="008D05EA">
        <w:rPr>
          <w:rFonts w:ascii="Arial" w:eastAsia="Arial" w:hAnsi="Arial" w:cs="Arial"/>
          <w:color w:val="000000"/>
          <w:szCs w:val="22"/>
        </w:rPr>
        <w:t>. 78/2015</w:t>
      </w:r>
      <w:r>
        <w:rPr>
          <w:rFonts w:ascii="Arial" w:eastAsia="Arial" w:hAnsi="Arial" w:cs="Arial"/>
          <w:color w:val="000000"/>
          <w:szCs w:val="22"/>
        </w:rPr>
        <w:t>.</w:t>
      </w:r>
    </w:p>
    <w:p w14:paraId="2272A1D9" w14:textId="2A3C083C" w:rsidR="005B1FBB" w:rsidRDefault="00145E1F" w:rsidP="00615F9A">
      <w:pPr>
        <w:pBdr>
          <w:top w:val="nil"/>
          <w:left w:val="nil"/>
          <w:bottom w:val="nil"/>
          <w:right w:val="nil"/>
          <w:between w:val="nil"/>
        </w:pBdr>
        <w:spacing w:line="240" w:lineRule="auto"/>
        <w:ind w:hanging="2"/>
        <w:rPr>
          <w:rFonts w:ascii="Calibri" w:eastAsiaTheme="majorEastAsia" w:hAnsi="Calibri" w:cs="Times New Roman (Titoli CS)"/>
          <w:b/>
          <w:i/>
          <w:iCs/>
          <w:color w:val="C00000"/>
          <w:sz w:val="28"/>
          <w:szCs w:val="40"/>
        </w:rPr>
      </w:pPr>
      <w:r>
        <w:rPr>
          <w:rFonts w:ascii="Arial" w:eastAsia="Arial" w:hAnsi="Arial" w:cs="Arial"/>
          <w:b/>
          <w:i/>
          <w:color w:val="00B0F0"/>
          <w:szCs w:val="22"/>
        </w:rPr>
        <w:t xml:space="preserve">N.B. </w:t>
      </w:r>
      <w:r w:rsidR="00C71F19">
        <w:rPr>
          <w:rFonts w:ascii="Arial" w:eastAsia="Arial" w:hAnsi="Arial" w:cs="Arial"/>
          <w:b/>
          <w:i/>
          <w:color w:val="00B0F0"/>
          <w:szCs w:val="22"/>
        </w:rPr>
        <w:t>L’</w:t>
      </w:r>
      <w:r>
        <w:rPr>
          <w:rFonts w:ascii="Arial" w:eastAsia="Arial" w:hAnsi="Arial" w:cs="Arial"/>
          <w:b/>
          <w:i/>
          <w:color w:val="00B0F0"/>
          <w:szCs w:val="22"/>
        </w:rPr>
        <w:t>a</w:t>
      </w:r>
      <w:r w:rsidR="00C71F19" w:rsidRPr="00C71F19">
        <w:rPr>
          <w:rFonts w:ascii="Arial" w:eastAsia="Arial" w:hAnsi="Arial" w:cs="Arial"/>
          <w:b/>
          <w:i/>
          <w:color w:val="00B0F0"/>
          <w:szCs w:val="22"/>
        </w:rPr>
        <w:t>rt. 17-ter</w:t>
      </w:r>
      <w:r w:rsidR="00C71F19">
        <w:rPr>
          <w:rFonts w:ascii="Arial" w:eastAsia="Arial" w:hAnsi="Arial" w:cs="Arial"/>
          <w:b/>
          <w:i/>
          <w:color w:val="00B0F0"/>
          <w:szCs w:val="22"/>
        </w:rPr>
        <w:t xml:space="preserve"> del D</w:t>
      </w:r>
      <w:r w:rsidR="00E82796">
        <w:rPr>
          <w:rFonts w:ascii="Arial" w:eastAsia="Arial" w:hAnsi="Arial" w:cs="Arial"/>
          <w:b/>
          <w:i/>
          <w:color w:val="00B0F0"/>
          <w:szCs w:val="22"/>
        </w:rPr>
        <w:t>.</w:t>
      </w:r>
      <w:r w:rsidR="00C71F19">
        <w:rPr>
          <w:rFonts w:ascii="Arial" w:eastAsia="Arial" w:hAnsi="Arial" w:cs="Arial"/>
          <w:b/>
          <w:i/>
          <w:color w:val="00B0F0"/>
          <w:szCs w:val="22"/>
        </w:rPr>
        <w:t>l</w:t>
      </w:r>
      <w:r w:rsidR="00E82796">
        <w:rPr>
          <w:rFonts w:ascii="Arial" w:eastAsia="Arial" w:hAnsi="Arial" w:cs="Arial"/>
          <w:b/>
          <w:i/>
          <w:color w:val="00B0F0"/>
          <w:szCs w:val="22"/>
        </w:rPr>
        <w:t>.</w:t>
      </w:r>
      <w:r w:rsidR="00C71F19">
        <w:rPr>
          <w:rFonts w:ascii="Arial" w:eastAsia="Arial" w:hAnsi="Arial" w:cs="Arial"/>
          <w:b/>
          <w:i/>
          <w:color w:val="00B0F0"/>
          <w:szCs w:val="22"/>
        </w:rPr>
        <w:t xml:space="preserve"> 113/2024 ha esteso al 2027 la possibilità</w:t>
      </w:r>
      <w:r w:rsidR="0091260C">
        <w:rPr>
          <w:rFonts w:ascii="Arial" w:eastAsia="Arial" w:hAnsi="Arial" w:cs="Arial"/>
          <w:b/>
          <w:i/>
          <w:color w:val="00B0F0"/>
          <w:szCs w:val="22"/>
        </w:rPr>
        <w:t xml:space="preserve"> per gli enti territoriali</w:t>
      </w:r>
      <w:r w:rsidR="00C71F19">
        <w:rPr>
          <w:rFonts w:ascii="Arial" w:eastAsia="Arial" w:hAnsi="Arial" w:cs="Arial"/>
          <w:b/>
          <w:i/>
          <w:color w:val="00B0F0"/>
          <w:szCs w:val="22"/>
        </w:rPr>
        <w:t xml:space="preserve"> di </w:t>
      </w:r>
      <w:r w:rsidR="00C71F19" w:rsidRPr="00C71F19">
        <w:rPr>
          <w:rFonts w:ascii="Arial" w:eastAsia="Arial" w:hAnsi="Arial" w:cs="Arial"/>
          <w:b/>
          <w:i/>
          <w:color w:val="00B0F0"/>
          <w:szCs w:val="22"/>
        </w:rPr>
        <w:t>utilizz</w:t>
      </w:r>
      <w:r w:rsidR="00C71F19">
        <w:rPr>
          <w:rFonts w:ascii="Arial" w:eastAsia="Arial" w:hAnsi="Arial" w:cs="Arial"/>
          <w:b/>
          <w:i/>
          <w:color w:val="00B0F0"/>
          <w:szCs w:val="22"/>
        </w:rPr>
        <w:t>are</w:t>
      </w:r>
      <w:r w:rsidR="0091260C">
        <w:rPr>
          <w:rFonts w:ascii="Arial" w:eastAsia="Arial" w:hAnsi="Arial" w:cs="Arial"/>
          <w:b/>
          <w:i/>
          <w:color w:val="00B0F0"/>
          <w:szCs w:val="22"/>
        </w:rPr>
        <w:t>,</w:t>
      </w:r>
      <w:r w:rsidR="00C71F19" w:rsidRPr="00C71F19">
        <w:rPr>
          <w:rFonts w:ascii="Arial" w:eastAsia="Arial" w:hAnsi="Arial" w:cs="Arial"/>
          <w:b/>
          <w:i/>
          <w:color w:val="00B0F0"/>
          <w:szCs w:val="22"/>
        </w:rPr>
        <w:t xml:space="preserve"> </w:t>
      </w:r>
      <w:r w:rsidR="0091260C" w:rsidRPr="005F5FD5">
        <w:rPr>
          <w:rFonts w:ascii="Arial" w:eastAsia="Arial" w:hAnsi="Arial" w:cs="Arial"/>
          <w:b/>
          <w:i/>
          <w:color w:val="00B0F0"/>
          <w:szCs w:val="22"/>
        </w:rPr>
        <w:t>senza vincoli di destinazione</w:t>
      </w:r>
      <w:r w:rsidR="0091260C">
        <w:rPr>
          <w:rFonts w:ascii="Arial" w:eastAsia="Arial" w:hAnsi="Arial" w:cs="Arial"/>
          <w:b/>
          <w:i/>
          <w:color w:val="00B0F0"/>
          <w:szCs w:val="22"/>
        </w:rPr>
        <w:t>,</w:t>
      </w:r>
      <w:r w:rsidR="00EA6160">
        <w:rPr>
          <w:rFonts w:ascii="Arial" w:eastAsia="Arial" w:hAnsi="Arial" w:cs="Arial"/>
          <w:b/>
          <w:i/>
          <w:color w:val="00B0F0"/>
          <w:szCs w:val="22"/>
        </w:rPr>
        <w:t xml:space="preserve"> queste economie</w:t>
      </w:r>
      <w:r w:rsidR="00331D66" w:rsidRPr="005F5FD5">
        <w:rPr>
          <w:rFonts w:ascii="Arial" w:eastAsia="Arial" w:hAnsi="Arial" w:cs="Arial"/>
          <w:b/>
          <w:i/>
          <w:color w:val="00B0F0"/>
          <w:szCs w:val="22"/>
        </w:rPr>
        <w:t>.</w:t>
      </w:r>
      <w:r w:rsidR="00D67B35" w:rsidRPr="005F5FD5">
        <w:rPr>
          <w:rFonts w:ascii="Arial" w:eastAsia="Arial" w:hAnsi="Arial" w:cs="Arial"/>
          <w:b/>
          <w:i/>
          <w:color w:val="00B0F0"/>
          <w:szCs w:val="22"/>
        </w:rPr>
        <w:t xml:space="preserve"> </w:t>
      </w:r>
      <w:bookmarkStart w:id="34" w:name="_Toc181700857"/>
    </w:p>
    <w:p w14:paraId="0048601F"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81700858"/>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7" w:name="_heading=h.ihv636" w:colFirst="0" w:colLast="0"/>
      <w:bookmarkEnd w:id="37"/>
    </w:p>
    <w:p w14:paraId="7EBBF907" w14:textId="37250130" w:rsidR="00DD32B9"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8" w:name="_Toc181700859"/>
      <w:r>
        <w:rPr>
          <w:rFonts w:ascii="Calibri" w:eastAsiaTheme="majorEastAsia" w:hAnsi="Calibri" w:cs="Times New Roman (Titoli CS)"/>
          <w:b/>
          <w:i/>
          <w:iCs/>
          <w:color w:val="C00000"/>
          <w:sz w:val="28"/>
          <w:szCs w:val="40"/>
        </w:rPr>
        <w:t>6.9</w:t>
      </w:r>
      <w:r w:rsidRPr="00AD7B50">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 xml:space="preserve"> Conguagli Fondi Covid-19</w:t>
      </w:r>
      <w:bookmarkEnd w:id="38"/>
    </w:p>
    <w:p w14:paraId="1714FFB7"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39" w:name="_Hlk180484342"/>
      <w:r w:rsidRPr="00EF4909">
        <w:rPr>
          <w:rFonts w:ascii="Arial" w:eastAsia="Arial" w:hAnsi="Arial" w:cs="Arial"/>
          <w:color w:val="000000"/>
          <w:szCs w:val="22"/>
        </w:rPr>
        <w:t>Per gli enti in surplus:</w:t>
      </w:r>
    </w:p>
    <w:p w14:paraId="7391D9EA"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EF4909">
        <w:rPr>
          <w:rFonts w:ascii="Arial" w:eastAsia="Arial" w:hAnsi="Arial" w:cs="Arial"/>
          <w:color w:val="000000"/>
          <w:szCs w:val="22"/>
        </w:rPr>
        <w:t>L’Organo di revisione ha verificato che:</w:t>
      </w:r>
    </w:p>
    <w:p w14:paraId="054206EF" w14:textId="251F3F8B"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le somme da restituire </w:t>
      </w:r>
      <w:r w:rsidRPr="00EF4909">
        <w:rPr>
          <w:rFonts w:ascii="Arial" w:eastAsia="Arial" w:hAnsi="Arial" w:cs="Arial"/>
          <w:b/>
          <w:bCs/>
          <w:color w:val="000000"/>
        </w:rPr>
        <w:t>sono/non sono</w:t>
      </w:r>
      <w:r w:rsidRPr="00EF4909">
        <w:rPr>
          <w:rFonts w:ascii="Arial" w:eastAsia="Arial" w:hAnsi="Arial" w:cs="Arial"/>
          <w:color w:val="000000"/>
        </w:rPr>
        <w:t xml:space="preserve"> stanziate in apposito capitolo con il codice </w:t>
      </w:r>
      <w:r w:rsidR="00675758" w:rsidRPr="00675758">
        <w:rPr>
          <w:rFonts w:ascii="Arial" w:eastAsia="Arial" w:hAnsi="Arial" w:cs="Arial"/>
          <w:color w:val="000000"/>
        </w:rPr>
        <w:t>U.1.04.01.01.001 – “</w:t>
      </w:r>
      <w:r w:rsidR="00675758" w:rsidRPr="00675758">
        <w:rPr>
          <w:rFonts w:ascii="Arial" w:eastAsia="Arial" w:hAnsi="Arial" w:cs="Arial"/>
          <w:i/>
          <w:iCs/>
          <w:color w:val="000000"/>
        </w:rPr>
        <w:t>Trasferimenti correnti a Ministeri</w:t>
      </w:r>
      <w:r w:rsidR="00675758" w:rsidRPr="00675758">
        <w:rPr>
          <w:rFonts w:ascii="Arial" w:eastAsia="Arial" w:hAnsi="Arial" w:cs="Arial"/>
          <w:color w:val="000000"/>
        </w:rPr>
        <w:t>”</w:t>
      </w:r>
      <w:r w:rsidRPr="00EF4909">
        <w:rPr>
          <w:rFonts w:ascii="Arial" w:eastAsia="Arial" w:hAnsi="Arial" w:cs="Arial"/>
          <w:color w:val="000000"/>
        </w:rPr>
        <w:t>, iscritto alla missione 01 «Servizi istituzionali, generali e di gestione», Programma 03 «Gestione economica, finanziaria, programmazione e provveditorato», Cofog 1.1 «Organi esecutivi e legislativi, attività finanziarie e fiscali e affari esteri».</w:t>
      </w:r>
    </w:p>
    <w:p w14:paraId="4DD811BB" w14:textId="317FF45C"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che tali somme </w:t>
      </w:r>
      <w:r w:rsidRPr="00EF4909">
        <w:rPr>
          <w:rFonts w:ascii="Arial" w:eastAsia="Arial" w:hAnsi="Arial" w:cs="Arial"/>
          <w:b/>
          <w:bCs/>
          <w:color w:val="000000"/>
        </w:rPr>
        <w:t>sono/non sono</w:t>
      </w:r>
      <w:r w:rsidRPr="00EF4909">
        <w:rPr>
          <w:rFonts w:ascii="Arial" w:eastAsia="Arial" w:hAnsi="Arial" w:cs="Arial"/>
          <w:color w:val="000000"/>
        </w:rPr>
        <w:t xml:space="preserve"> coperte per l’esercizio 2025, con l’applicazione della quota di avanzo vincolato presunto, già risultante nel rendiconto 2023.</w:t>
      </w:r>
    </w:p>
    <w:p w14:paraId="2C79007A" w14:textId="35492B88"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lo schema di risultato di amministrazione presunto allegato al bilancio 2025/2027 </w:t>
      </w:r>
      <w:r w:rsidRPr="00EF4909">
        <w:rPr>
          <w:rFonts w:ascii="Arial" w:eastAsia="Arial" w:hAnsi="Arial" w:cs="Arial"/>
          <w:b/>
          <w:bCs/>
          <w:color w:val="000000"/>
        </w:rPr>
        <w:t>è/non è</w:t>
      </w:r>
      <w:r w:rsidRPr="00EF4909">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6E159EDD"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al bilancio 2025/2027 </w:t>
      </w:r>
      <w:r w:rsidRPr="00EF4909">
        <w:rPr>
          <w:rFonts w:ascii="Arial" w:eastAsia="Arial" w:hAnsi="Arial" w:cs="Arial"/>
          <w:b/>
          <w:bCs/>
          <w:color w:val="000000"/>
        </w:rPr>
        <w:t>è/non è</w:t>
      </w:r>
      <w:r w:rsidRPr="00EF4909">
        <w:rPr>
          <w:rFonts w:ascii="Arial" w:eastAsia="Arial" w:hAnsi="Arial" w:cs="Arial"/>
          <w:color w:val="000000"/>
        </w:rPr>
        <w:t xml:space="preserve"> allegata la tabella A2.</w:t>
      </w:r>
    </w:p>
    <w:p w14:paraId="78E8A3B0" w14:textId="46B499EB" w:rsidR="00DD32B9" w:rsidRPr="00EF4909" w:rsidRDefault="00DD32B9" w:rsidP="00EF4909">
      <w:pPr>
        <w:pBdr>
          <w:top w:val="nil"/>
          <w:left w:val="nil"/>
          <w:bottom w:val="nil"/>
          <w:right w:val="nil"/>
          <w:between w:val="nil"/>
        </w:pBdr>
        <w:spacing w:line="240" w:lineRule="auto"/>
        <w:rPr>
          <w:rFonts w:ascii="Arial" w:eastAsia="Arial" w:hAnsi="Arial" w:cs="Arial"/>
          <w:color w:val="000000"/>
        </w:rPr>
      </w:pPr>
      <w:r w:rsidRPr="00EF4909">
        <w:rPr>
          <w:rFonts w:ascii="Arial" w:eastAsia="Arial" w:hAnsi="Arial" w:cs="Arial"/>
          <w:color w:val="000000"/>
        </w:rPr>
        <w:t>Per gli enti in deficit:</w:t>
      </w:r>
    </w:p>
    <w:p w14:paraId="6EDEF955" w14:textId="092F6750"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5B1FBB">
        <w:rPr>
          <w:rFonts w:ascii="Arial" w:eastAsia="Arial" w:hAnsi="Arial" w:cs="Arial"/>
          <w:color w:val="000000"/>
        </w:rPr>
        <w:t xml:space="preserve">L’Organo di revisione ha verificato che tra le entrate </w:t>
      </w:r>
      <w:r w:rsidRPr="005B1FBB">
        <w:rPr>
          <w:rFonts w:ascii="Arial" w:eastAsia="Arial" w:hAnsi="Arial" w:cs="Arial"/>
          <w:b/>
          <w:bCs/>
          <w:color w:val="000000"/>
        </w:rPr>
        <w:t>è</w:t>
      </w:r>
      <w:r w:rsidR="00EF4909" w:rsidRPr="005B1FBB">
        <w:rPr>
          <w:rFonts w:ascii="Arial" w:eastAsia="Arial" w:hAnsi="Arial" w:cs="Arial"/>
          <w:b/>
          <w:bCs/>
          <w:color w:val="000000"/>
        </w:rPr>
        <w:t xml:space="preserve"> stato/</w:t>
      </w:r>
      <w:r w:rsidRPr="005B1FBB">
        <w:rPr>
          <w:rFonts w:ascii="Arial" w:eastAsia="Arial" w:hAnsi="Arial" w:cs="Arial"/>
          <w:b/>
          <w:bCs/>
          <w:color w:val="000000"/>
        </w:rPr>
        <w:t>non è stato</w:t>
      </w:r>
      <w:r w:rsidRPr="005B1FBB">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5B1FBB">
        <w:rPr>
          <w:rFonts w:ascii="Arial" w:eastAsia="Arial" w:hAnsi="Arial" w:cs="Arial"/>
          <w:i/>
          <w:iCs/>
          <w:color w:val="000000"/>
        </w:rPr>
        <w:t xml:space="preserve">Trasferimenti correnti da Ministeri </w:t>
      </w:r>
      <w:r w:rsidRPr="005B1FBB">
        <w:rPr>
          <w:rFonts w:ascii="Arial" w:eastAsia="Arial" w:hAnsi="Arial" w:cs="Arial"/>
          <w:color w:val="000000"/>
        </w:rPr>
        <w:t>per l’importo che deve essere incamerato per le annualità 2025, 2026 e 2027.</w:t>
      </w:r>
      <w:bookmarkStart w:id="40" w:name="_Toc181700860"/>
      <w:bookmarkEnd w:id="39"/>
    </w:p>
    <w:p w14:paraId="0113B6B7"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r>
        <w:t>7</w:t>
      </w:r>
      <w:r w:rsidR="00AD7B50" w:rsidRPr="00867831">
        <w:t xml:space="preserve">. </w:t>
      </w:r>
      <w:r w:rsidR="00AD7B50">
        <w:t>V</w:t>
      </w:r>
      <w:r w:rsidR="00D465E4">
        <w:t>ERIFICA ATTENDIBILITA’ E CONGRUITA’ DELLE PREVISIONI</w:t>
      </w:r>
      <w:bookmarkEnd w:id="40"/>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1" w:name="_Toc181700861"/>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1"/>
      <w:r w:rsidR="000F434D" w:rsidRPr="00B96B45">
        <w:rPr>
          <w:rFonts w:ascii="Calibri" w:eastAsiaTheme="majorEastAsia" w:hAnsi="Calibri" w:cs="Times New Roman (Titoli CS)"/>
          <w:b/>
          <w:i/>
          <w:iCs/>
          <w:color w:val="C00000"/>
          <w:sz w:val="28"/>
          <w:szCs w:val="40"/>
        </w:rPr>
        <w:t xml:space="preserve"> </w:t>
      </w:r>
    </w:p>
    <w:p w14:paraId="47689471" w14:textId="7724BDA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EB1F06">
        <w:rPr>
          <w:rFonts w:ascii="Arial" w:eastAsia="Arial" w:hAnsi="Arial" w:cs="Arial"/>
          <w:color w:val="000000"/>
          <w:szCs w:val="22"/>
        </w:rPr>
        <w:t>5</w:t>
      </w:r>
      <w:r w:rsidRPr="0089214D">
        <w:rPr>
          <w:rFonts w:ascii="Arial" w:eastAsia="Arial" w:hAnsi="Arial" w:cs="Arial"/>
          <w:color w:val="000000"/>
          <w:szCs w:val="22"/>
        </w:rPr>
        <w:t>-202</w:t>
      </w:r>
      <w:r w:rsidR="00EB1F06">
        <w:rPr>
          <w:rFonts w:ascii="Arial" w:eastAsia="Arial" w:hAnsi="Arial" w:cs="Arial"/>
          <w:color w:val="000000"/>
          <w:szCs w:val="22"/>
        </w:rPr>
        <w:t>7</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37623D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D.lgs. n.360/1998,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5240BB99" w14:textId="77777777" w:rsidR="006202C9"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73081713" w14:textId="59454A50" w:rsidR="000F434D"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7EE2AE4A" w14:textId="77777777" w:rsidR="006202C9" w:rsidRPr="00D465E4"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2grqrue" w:colFirst="0" w:colLast="0"/>
      <w:bookmarkEnd w:id="42"/>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344B9CC5" w14:textId="77777777" w:rsidTr="006202C9">
        <w:tc>
          <w:tcPr>
            <w:tcW w:w="9024" w:type="dxa"/>
            <w:shd w:val="clear" w:color="auto" w:fill="FFFFFF" w:themeFill="background1"/>
          </w:tcPr>
          <w:p w14:paraId="4E1520E3" w14:textId="28C6E40E" w:rsidR="006202C9" w:rsidRPr="00AF7672" w:rsidRDefault="009E69E9" w:rsidP="006202C9">
            <w:pPr>
              <w:spacing w:line="240" w:lineRule="auto"/>
              <w:ind w:left="0" w:hanging="2"/>
              <w:rPr>
                <w:rFonts w:ascii="Arial" w:eastAsia="Arial" w:hAnsi="Arial" w:cs="Arial"/>
                <w:color w:val="000000"/>
                <w:sz w:val="20"/>
                <w:szCs w:val="20"/>
              </w:rPr>
            </w:pPr>
            <w:r w:rsidRPr="00AF7672">
              <w:rPr>
                <w:rFonts w:ascii="Arial" w:eastAsia="Arial" w:hAnsi="Arial" w:cs="Arial"/>
                <w:color w:val="000000"/>
                <w:sz w:val="20"/>
                <w:szCs w:val="20"/>
              </w:rPr>
              <w:t xml:space="preserve">Il comma 750 </w:t>
            </w:r>
            <w:r w:rsidR="00AF7672" w:rsidRPr="00AF7672">
              <w:rPr>
                <w:rFonts w:ascii="Arial" w:eastAsia="Arial" w:hAnsi="Arial" w:cs="Arial"/>
                <w:color w:val="000000"/>
                <w:sz w:val="20"/>
                <w:szCs w:val="20"/>
              </w:rPr>
              <w:t>dell’articolo 1 della Legge 30 dicembre 2024, n. 207 - Legge di Bilancio 2025-</w:t>
            </w:r>
            <w:r w:rsidR="00390923" w:rsidRPr="00AF7672">
              <w:rPr>
                <w:rFonts w:ascii="Arial" w:eastAsia="Arial" w:hAnsi="Arial" w:cs="Arial"/>
                <w:color w:val="000000"/>
                <w:sz w:val="20"/>
                <w:szCs w:val="20"/>
              </w:rPr>
              <w:t xml:space="preserve">dispone che, </w:t>
            </w:r>
            <w:r w:rsidR="006202C9" w:rsidRPr="00AF7672">
              <w:rPr>
                <w:rFonts w:ascii="Arial" w:eastAsia="Arial" w:hAnsi="Arial" w:cs="Arial"/>
                <w:color w:val="000000"/>
                <w:sz w:val="20"/>
                <w:szCs w:val="20"/>
              </w:rPr>
              <w:t>al fine di garantire la coerenza della disciplina dell'addizionale comunale all'imposta sul reddito delle persone fisiche con la nuova articolazione degli scaglioni di reddito dell'imposta sul reddito delle persone fisiche prevista dall'articolo 11, comma 1, del testo unico delle imposte sui redditi, di cui al decreto del Presidente della Repubblica 22 dicembre 1986, n. 917, in deroga all’articolo 1, comma 169, primo periodo, della legge 27 dicembre 2006, n. 296 e all’articolo 172, comma 1, lettera c), del decreto legislativo 18 agosto 2000, n. 267, i comuni per l'anno 2025 modificano, con propria delibera, entro il 15 aprile 2025, gli scaglioni e le aliquote dell'addizionale comunale al fine di conformarsi alla nuova articolazione prevista per l'imposta sul reddito delle persone fisiche.</w:t>
            </w:r>
          </w:p>
          <w:p w14:paraId="534E9118" w14:textId="77777777" w:rsidR="006202C9" w:rsidRPr="00AF7672" w:rsidRDefault="006202C9" w:rsidP="006202C9">
            <w:pPr>
              <w:spacing w:line="240" w:lineRule="auto"/>
              <w:ind w:left="0" w:hanging="2"/>
              <w:rPr>
                <w:rFonts w:ascii="Arial" w:eastAsia="Arial" w:hAnsi="Arial" w:cs="Arial"/>
                <w:color w:val="000000"/>
                <w:sz w:val="20"/>
                <w:szCs w:val="20"/>
              </w:rPr>
            </w:pPr>
          </w:p>
          <w:p w14:paraId="1A4E84C2" w14:textId="082126E8" w:rsidR="006202C9" w:rsidRPr="00AF7672" w:rsidRDefault="006202C9" w:rsidP="006202C9">
            <w:pPr>
              <w:spacing w:line="240" w:lineRule="auto"/>
              <w:ind w:left="0" w:hanging="2"/>
              <w:rPr>
                <w:rFonts w:ascii="Arial" w:eastAsia="Arial" w:hAnsi="Arial" w:cs="Arial"/>
                <w:color w:val="000000"/>
                <w:sz w:val="20"/>
                <w:szCs w:val="20"/>
              </w:rPr>
            </w:pPr>
            <w:r w:rsidRPr="00AF7672">
              <w:rPr>
                <w:rFonts w:ascii="Arial" w:eastAsia="Arial" w:hAnsi="Arial" w:cs="Arial"/>
                <w:color w:val="000000"/>
                <w:sz w:val="20"/>
                <w:szCs w:val="20"/>
              </w:rPr>
              <w:t>Nelle more del riordino della fiscalità degli enti territoriali, i comuni possono determinare, per i soli anni di imposta 2025, 2026 e 2027, aliquote differenziate dell'addizionale comunale all'imposta sul reddito delle persone fisiche sulla base degli scaglioni di reddito previsti dall’articolo 11, comma 1, del decreto del Presidente della Repubblica 22 dicembre 1986, n. 917, vigenti fino alla data di entrata in vigore della presente legge. Per il solo anno di imposta 2025, il termine per approvare gli scaglioni di reddito e le aliquote di cui al primo periodo è fissato al 15 aprile 2025 in deroga all’articolo 1, comma 169, primo periodo, della legge n. 296 del 2006 e all’articolo 172, comma 1, lettera c), del decreto legislativo 18 agosto 2000, n. 267.</w:t>
            </w:r>
          </w:p>
          <w:p w14:paraId="39C87070" w14:textId="77777777" w:rsidR="006202C9" w:rsidRPr="006202C9" w:rsidRDefault="006202C9" w:rsidP="006202C9">
            <w:pPr>
              <w:spacing w:line="240" w:lineRule="auto"/>
              <w:ind w:left="0" w:hanging="2"/>
              <w:rPr>
                <w:rFonts w:ascii="Arial" w:eastAsia="Arial" w:hAnsi="Arial" w:cs="Arial"/>
                <w:color w:val="000000"/>
                <w:sz w:val="20"/>
                <w:szCs w:val="20"/>
              </w:rPr>
            </w:pPr>
          </w:p>
          <w:p w14:paraId="763D9A0B" w14:textId="605CAC19" w:rsidR="00390923" w:rsidRDefault="009E69E9" w:rsidP="006202C9">
            <w:pPr>
              <w:spacing w:line="240" w:lineRule="auto"/>
              <w:ind w:leftChars="0" w:left="2" w:hanging="2"/>
              <w:outlineLvl w:val="9"/>
              <w:rPr>
                <w:rFonts w:ascii="Arial" w:eastAsia="Arial" w:hAnsi="Arial" w:cs="Arial"/>
                <w:color w:val="000000"/>
                <w:szCs w:val="22"/>
              </w:rPr>
            </w:pPr>
            <w:r>
              <w:rPr>
                <w:rFonts w:ascii="Arial" w:eastAsia="Arial" w:hAnsi="Arial" w:cs="Arial"/>
                <w:color w:val="000000"/>
                <w:sz w:val="20"/>
                <w:szCs w:val="20"/>
              </w:rPr>
              <w:t>Qualora</w:t>
            </w:r>
            <w:r w:rsidR="006202C9" w:rsidRPr="006202C9">
              <w:rPr>
                <w:rFonts w:ascii="Arial" w:eastAsia="Arial" w:hAnsi="Arial" w:cs="Arial"/>
                <w:color w:val="000000"/>
                <w:sz w:val="20"/>
                <w:szCs w:val="20"/>
              </w:rPr>
              <w:t xml:space="preserve"> i comuni non adott</w:t>
            </w:r>
            <w:r>
              <w:rPr>
                <w:rFonts w:ascii="Arial" w:eastAsia="Arial" w:hAnsi="Arial" w:cs="Arial"/>
                <w:color w:val="000000"/>
                <w:sz w:val="20"/>
                <w:szCs w:val="20"/>
              </w:rPr>
              <w:t>i</w:t>
            </w:r>
            <w:r w:rsidR="006202C9" w:rsidRPr="006202C9">
              <w:rPr>
                <w:rFonts w:ascii="Arial" w:eastAsia="Arial" w:hAnsi="Arial" w:cs="Arial"/>
                <w:color w:val="000000"/>
                <w:sz w:val="20"/>
                <w:szCs w:val="20"/>
              </w:rPr>
              <w:t xml:space="preserve">no la delibera di cui ai commi </w:t>
            </w:r>
            <w:r>
              <w:rPr>
                <w:rFonts w:ascii="Arial" w:eastAsia="Arial" w:hAnsi="Arial" w:cs="Arial"/>
                <w:color w:val="000000"/>
                <w:sz w:val="20"/>
                <w:szCs w:val="20"/>
              </w:rPr>
              <w:t>750 e</w:t>
            </w:r>
            <w:r w:rsidR="00AF7672">
              <w:rPr>
                <w:rFonts w:ascii="Arial" w:eastAsia="Arial" w:hAnsi="Arial" w:cs="Arial"/>
                <w:color w:val="000000"/>
                <w:sz w:val="20"/>
                <w:szCs w:val="20"/>
              </w:rPr>
              <w:t xml:space="preserve"> </w:t>
            </w:r>
            <w:r>
              <w:rPr>
                <w:rFonts w:ascii="Arial" w:eastAsia="Arial" w:hAnsi="Arial" w:cs="Arial"/>
                <w:color w:val="000000"/>
                <w:sz w:val="20"/>
                <w:szCs w:val="20"/>
              </w:rPr>
              <w:t xml:space="preserve">751 </w:t>
            </w:r>
            <w:r w:rsidR="006202C9" w:rsidRPr="006202C9">
              <w:rPr>
                <w:rFonts w:ascii="Arial" w:eastAsia="Arial" w:hAnsi="Arial" w:cs="Arial"/>
                <w:color w:val="000000"/>
                <w:sz w:val="20"/>
                <w:szCs w:val="20"/>
              </w:rPr>
              <w:t>o non la trasmettono entro il termine stabilito dall’articolo 14, comma 8, del decreto legislativo 14 marzo 2011, n. 23, per gli anni di imposta 2025, 2026 e 2027, l'addizionale comunale all'imposta sul reddito delle persone fisiche si applica sulla base degli scaglioni di reddito e delle aliquote già vigenti in ciascun ente nell’anno precedente a quello di riferimento.</w:t>
            </w:r>
          </w:p>
        </w:tc>
      </w:tr>
    </w:tbl>
    <w:p w14:paraId="1EA07F89" w14:textId="77777777" w:rsidR="00483AB8" w:rsidRDefault="00483AB8" w:rsidP="000F434D">
      <w:pPr>
        <w:pBdr>
          <w:top w:val="nil"/>
          <w:left w:val="nil"/>
          <w:bottom w:val="nil"/>
          <w:right w:val="nil"/>
          <w:between w:val="nil"/>
        </w:pBdr>
        <w:spacing w:line="240" w:lineRule="auto"/>
        <w:ind w:hanging="2"/>
        <w:rPr>
          <w:rFonts w:ascii="Arial" w:eastAsia="Arial" w:hAnsi="Arial" w:cs="Arial"/>
          <w:color w:val="000000"/>
          <w:szCs w:val="22"/>
        </w:rPr>
      </w:pP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3" w:name="_heading=h.vx1227" w:colFirst="0" w:colLast="0"/>
      <w:bookmarkEnd w:id="43"/>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3fwokq0" w:colFirst="0" w:colLast="0"/>
      <w:bookmarkEnd w:id="44"/>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5" w:name="_heading=h.1v1yuxt" w:colFirst="0" w:colLast="0"/>
      <w:bookmarkEnd w:id="45"/>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4AE3314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5F5FD5">
        <w:rPr>
          <w:rFonts w:ascii="Arial" w:eastAsia="Arial" w:hAnsi="Arial" w:cs="Arial"/>
          <w:color w:val="000000"/>
          <w:szCs w:val="22"/>
        </w:rPr>
        <w:t>5</w:t>
      </w:r>
      <w:r>
        <w:rPr>
          <w:rFonts w:ascii="Arial" w:eastAsia="Arial" w:hAnsi="Arial" w:cs="Arial"/>
          <w:color w:val="000000"/>
          <w:szCs w:val="22"/>
        </w:rPr>
        <w:t>, la somma di euro ……………………., con un aumento/diminuzione di euro …………… rispetto alle previsioni definitive 202</w:t>
      </w:r>
      <w:r w:rsidR="005F5FD5">
        <w:rPr>
          <w:rFonts w:ascii="Arial" w:eastAsia="Arial" w:hAnsi="Arial" w:cs="Arial"/>
          <w:color w:val="000000"/>
          <w:szCs w:val="22"/>
        </w:rPr>
        <w:t>4</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25B981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secondo le prescrizioni contenute nelle delibere dell’Autorità di Regolazione per l’Energia, Reti e Ambiente (ARERA).</w:t>
      </w:r>
    </w:p>
    <w:p w14:paraId="63451F0F" w14:textId="246842E6"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w:t>
      </w:r>
      <w:r w:rsidR="006C3174">
        <w:rPr>
          <w:rFonts w:ascii="Arial" w:eastAsia="Arial" w:hAnsi="Arial" w:cs="Arial"/>
          <w:b/>
          <w:bCs/>
          <w:i/>
          <w:color w:val="00B0F0"/>
          <w:szCs w:val="22"/>
        </w:rPr>
        <w:t>5</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pagoPA;</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15CF5DB5"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nell’esercizio 2023 </w:t>
      </w:r>
      <w:r w:rsidR="00D6428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3FB3995A"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6" w:name="_heading=h.4f1mdlm" w:colFirst="0" w:colLast="0"/>
      <w:bookmarkEnd w:id="46"/>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Pr>
          <w:rFonts w:ascii="Arial" w:eastAsia="Arial" w:hAnsi="Arial" w:cs="Arial"/>
          <w:color w:val="000000"/>
          <w:szCs w:val="22"/>
        </w:rPr>
        <w:tab/>
      </w:r>
    </w:p>
    <w:p w14:paraId="25450293" w14:textId="3F0E4F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54B70EE3" w14:textId="53A13FED"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7" w:name="_heading=h.3tbugp1" w:colFirst="0" w:colLast="0"/>
      <w:bookmarkEnd w:id="47"/>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48" w:name="_heading=h.37m2jsg" w:colFirst="0" w:colLast="0"/>
      <w:bookmarkEnd w:id="48"/>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9" w:name="_heading=h.1mrcu09" w:colFirst="0" w:colLast="0"/>
      <w:bookmarkEnd w:id="49"/>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0"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50"/>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2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3D4ECC84" w14:textId="77777777" w:rsidR="006202C9" w:rsidRDefault="006202C9"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E311EB5" w14:textId="0D742F7F"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1" w:name="_heading=h.2lwamvv" w:colFirst="0" w:colLast="0"/>
      <w:bookmarkEnd w:id="51"/>
      <w:r w:rsidRPr="00B62E12">
        <w:rPr>
          <w:rFonts w:ascii="Arial" w:eastAsia="Arial" w:hAnsi="Arial" w:cs="Arial"/>
          <w:b/>
          <w:bCs/>
          <w:szCs w:val="22"/>
        </w:rPr>
        <w:t>TABELLA 11-</w:t>
      </w:r>
      <w:r w:rsidR="00E1450A">
        <w:rPr>
          <w:rFonts w:ascii="Arial" w:eastAsia="Arial" w:hAnsi="Arial" w:cs="Arial"/>
          <w:b/>
          <w:bCs/>
          <w:szCs w:val="22"/>
        </w:rPr>
        <w:t>b</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2" w:name="_heading=h.3l18frh" w:colFirst="0" w:colLast="0"/>
      <w:bookmarkStart w:id="53" w:name="_heading=h.206ipza" w:colFirst="0" w:colLast="0"/>
      <w:bookmarkEnd w:id="52"/>
      <w:bookmarkEnd w:id="53"/>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4" w:name="_heading=h.2zbgiuw" w:colFirst="0" w:colLast="0"/>
      <w:bookmarkEnd w:id="54"/>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5DC6B43" w14:textId="77777777" w:rsidR="00D86288" w:rsidRPr="00B62E12" w:rsidRDefault="00D86288"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F718161" w14:textId="4EA4622E"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smi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5" w:name="_Toc181700862"/>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5"/>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5FD06FE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per macro-aggregati di spesa corrente confrontate con la spesa risultante dalla previsione definitiva 202</w:t>
      </w:r>
      <w:r w:rsidR="005F5FD5">
        <w:rPr>
          <w:rFonts w:ascii="Arial" w:eastAsia="Arial" w:hAnsi="Arial" w:cs="Arial"/>
          <w:color w:val="000000"/>
          <w:szCs w:val="22"/>
        </w:rPr>
        <w:t>4</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6" w:name="_heading=h.2dlolyb" w:colFirst="0" w:colLast="0"/>
      <w:bookmarkEnd w:id="56"/>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d.l.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d.l.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53C41D8B" w14:textId="77777777" w:rsidR="00AF7672" w:rsidRDefault="00AF7672" w:rsidP="000F434D">
      <w:pPr>
        <w:ind w:hanging="2"/>
        <w:rPr>
          <w:rFonts w:ascii="Arial" w:eastAsia="Arial" w:hAnsi="Arial" w:cs="Arial"/>
          <w:color w:val="auto"/>
          <w:szCs w:val="22"/>
        </w:rPr>
      </w:pPr>
    </w:p>
    <w:p w14:paraId="64809FA9" w14:textId="3412E411"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286B0AB1"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4E3B5E8B" w:rsidR="000F434D" w:rsidRPr="004B4CFE" w:rsidRDefault="000F434D" w:rsidP="000F434D">
      <w:pPr>
        <w:ind w:hanging="2"/>
        <w:rPr>
          <w:rFonts w:ascii="Arial" w:eastAsia="Arial" w:hAnsi="Arial" w:cs="Arial"/>
          <w:color w:val="auto"/>
          <w:szCs w:val="22"/>
        </w:rPr>
      </w:pPr>
      <w:bookmarkStart w:id="57" w:name="_heading=h.3cqmetx" w:colFirst="0" w:colLast="0"/>
      <w:bookmarkEnd w:id="57"/>
      <w:r w:rsidRPr="004B4CFE">
        <w:rPr>
          <w:rFonts w:ascii="Arial" w:eastAsia="Arial" w:hAnsi="Arial" w:cs="Arial"/>
          <w:color w:val="auto"/>
          <w:szCs w:val="22"/>
        </w:rPr>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in maniera coerente ai progetti del PNRR.</w:t>
      </w:r>
    </w:p>
    <w:p w14:paraId="6BF077BD" w14:textId="11ECD064" w:rsidR="000F434D" w:rsidRPr="004B4CFE" w:rsidRDefault="000F434D" w:rsidP="000F434D">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D.</w:t>
      </w:r>
      <w:r w:rsidR="00D86288">
        <w:rPr>
          <w:rFonts w:ascii="Arial" w:hAnsi="Arial" w:cs="Arial"/>
          <w:color w:val="auto"/>
          <w:szCs w:val="22"/>
        </w:rPr>
        <w:t>l</w:t>
      </w:r>
      <w:r w:rsidRPr="004B4CFE">
        <w:rPr>
          <w:rFonts w:ascii="Arial" w:hAnsi="Arial" w:cs="Arial"/>
          <w:color w:val="auto"/>
          <w:szCs w:val="22"/>
        </w:rPr>
        <w:t>. 152/2021.</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6CEC89F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w:t>
      </w:r>
      <w:r w:rsidR="00D86288">
        <w:rPr>
          <w:rFonts w:ascii="Arial" w:eastAsia="Arial" w:hAnsi="Arial" w:cs="Arial"/>
          <w:color w:val="000000"/>
          <w:szCs w:val="22"/>
        </w:rPr>
        <w:t>l</w:t>
      </w:r>
      <w:r>
        <w:rPr>
          <w:rFonts w:ascii="Arial" w:eastAsia="Arial" w:hAnsi="Arial" w:cs="Arial"/>
          <w:color w:val="000000"/>
          <w:szCs w:val="22"/>
        </w:rPr>
        <w:t>.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58" w:name="_Toc181700863"/>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58"/>
    </w:p>
    <w:p w14:paraId="06891F18" w14:textId="77777777" w:rsidR="00515733" w:rsidRPr="00E1450A" w:rsidRDefault="00B61A0E" w:rsidP="00B61A0E">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515733" w:rsidRPr="00E1450A">
        <w:rPr>
          <w:rFonts w:ascii="Arial" w:eastAsia="Arial" w:hAnsi="Arial" w:cs="Arial"/>
          <w:color w:val="000000"/>
          <w:szCs w:val="22"/>
        </w:rPr>
        <w:t>:</w:t>
      </w:r>
    </w:p>
    <w:p w14:paraId="6B8EAA59" w14:textId="12644E8E" w:rsidR="00515733"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w:t>
      </w:r>
      <w:r w:rsidR="00B61A0E"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le risorse relative alla spending review </w:t>
      </w:r>
      <w:r w:rsidRPr="00E1450A">
        <w:rPr>
          <w:rFonts w:ascii="Arial" w:eastAsia="Arial" w:hAnsi="Arial" w:cs="Arial"/>
          <w:color w:val="000000"/>
          <w:szCs w:val="22"/>
        </w:rPr>
        <w:t>di cui al D</w:t>
      </w:r>
      <w:r w:rsidR="00D86288">
        <w:rPr>
          <w:rFonts w:ascii="Arial" w:eastAsia="Arial" w:hAnsi="Arial" w:cs="Arial"/>
          <w:color w:val="000000"/>
          <w:szCs w:val="22"/>
        </w:rPr>
        <w:t>.</w:t>
      </w:r>
      <w:r w:rsidRPr="00E1450A">
        <w:rPr>
          <w:rFonts w:ascii="Arial" w:eastAsia="Arial" w:hAnsi="Arial" w:cs="Arial"/>
          <w:color w:val="000000"/>
          <w:szCs w:val="22"/>
        </w:rPr>
        <w:t>M</w:t>
      </w:r>
      <w:r w:rsidR="00D86288">
        <w:rPr>
          <w:rFonts w:ascii="Arial" w:eastAsia="Arial" w:hAnsi="Arial" w:cs="Arial"/>
          <w:color w:val="000000"/>
          <w:szCs w:val="22"/>
        </w:rPr>
        <w:t>.</w:t>
      </w:r>
      <w:r w:rsidRPr="00E1450A">
        <w:rPr>
          <w:rFonts w:ascii="Arial" w:eastAsia="Arial" w:hAnsi="Arial" w:cs="Arial"/>
          <w:color w:val="000000"/>
          <w:szCs w:val="22"/>
        </w:rPr>
        <w:t xml:space="preserve"> 29.3.2024 Legge n. 178/2020 art 1, c. 850 e 853);</w:t>
      </w:r>
    </w:p>
    <w:p w14:paraId="5A812107" w14:textId="363C2874" w:rsidR="00515733" w:rsidRPr="00E1450A" w:rsidRDefault="00515733" w:rsidP="00515733">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Pr="00E1450A">
        <w:rPr>
          <w:rFonts w:ascii="Arial" w:eastAsia="Arial" w:hAnsi="Arial" w:cs="Arial"/>
          <w:b/>
          <w:bCs/>
          <w:color w:val="000000"/>
          <w:szCs w:val="22"/>
        </w:rPr>
        <w:t>ha stanziato/non ha stanziato</w:t>
      </w:r>
      <w:r w:rsidRPr="00E1450A">
        <w:rPr>
          <w:rFonts w:ascii="Arial" w:eastAsia="Arial" w:hAnsi="Arial" w:cs="Arial"/>
          <w:color w:val="000000"/>
          <w:szCs w:val="22"/>
        </w:rPr>
        <w:t xml:space="preserve"> le risorse relative alla spending review di cui al DM 30.9.2024 (L. 213/2023 art.1 commi 533,534,535); </w:t>
      </w:r>
    </w:p>
    <w:p w14:paraId="47F569AF" w14:textId="511D1A0E" w:rsidR="00B61A0E"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tali risorse sul piano dei conti 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p>
    <w:p w14:paraId="5841C942" w14:textId="68EC738A" w:rsidR="00583C01" w:rsidRPr="00B96B45" w:rsidRDefault="00BC1BB3" w:rsidP="0006092D">
      <w:pPr>
        <w:pStyle w:val="Titolo1"/>
        <w:numPr>
          <w:ilvl w:val="0"/>
          <w:numId w:val="0"/>
        </w:numPr>
        <w:ind w:left="357" w:hanging="357"/>
        <w:rPr>
          <w:b w:val="0"/>
          <w:i/>
          <w:iCs/>
        </w:rPr>
      </w:pPr>
      <w:bookmarkStart w:id="59" w:name="_Toc181700864"/>
      <w:r w:rsidRPr="00B96B45">
        <w:rPr>
          <w:i/>
          <w:iCs/>
        </w:rPr>
        <w:t>7</w:t>
      </w:r>
      <w:r w:rsidR="002A0A97" w:rsidRPr="00B96B45">
        <w:rPr>
          <w:i/>
          <w:iCs/>
        </w:rPr>
        <w:t>.</w:t>
      </w:r>
      <w:r w:rsidR="00595F99">
        <w:rPr>
          <w:i/>
          <w:iCs/>
        </w:rPr>
        <w:t>4</w:t>
      </w:r>
      <w:r w:rsidR="00583C01" w:rsidRPr="00B96B45">
        <w:rPr>
          <w:i/>
          <w:iCs/>
        </w:rPr>
        <w:t>. Spese in conto capitale</w:t>
      </w:r>
      <w:bookmarkEnd w:id="59"/>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23741F1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ad euro ….;</w:t>
      </w:r>
    </w:p>
    <w:p w14:paraId="61F0B947" w14:textId="3886917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6</w:t>
      </w:r>
      <w:r w:rsidRPr="00BE32C7">
        <w:rPr>
          <w:rFonts w:ascii="Arial" w:eastAsia="Arial" w:hAnsi="Arial" w:cs="Arial"/>
          <w:color w:val="auto"/>
          <w:szCs w:val="22"/>
        </w:rPr>
        <w:t xml:space="preserve"> ad euro ….;</w:t>
      </w:r>
    </w:p>
    <w:p w14:paraId="6B00CFC7" w14:textId="54FF036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7</w:t>
      </w:r>
      <w:r w:rsidRPr="00BE32C7">
        <w:rPr>
          <w:rFonts w:ascii="Arial" w:eastAsia="Arial" w:hAnsi="Arial" w:cs="Arial"/>
          <w:color w:val="auto"/>
          <w:szCs w:val="22"/>
        </w:rPr>
        <w:t xml:space="preserve"> ad euro ….;</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5F1F4F9C" w14:textId="4ECE880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03526EA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1BCEE165" w:rsidR="000F434D" w:rsidRPr="00BE32C7" w:rsidRDefault="006202C9" w:rsidP="000F434D">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auto"/>
          <w:szCs w:val="22"/>
        </w:rPr>
        <w:t>……………………..</w:t>
      </w: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6E5E55E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2A1B744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0" w:name="_heading=h.25b2l0r" w:colFirst="0" w:colLast="0"/>
      <w:bookmarkEnd w:id="60"/>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1" w:name="_heading=h.kgcv8k" w:colFirst="0" w:colLast="0"/>
      <w:bookmarkEnd w:id="61"/>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Dipe-RGS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50 di Arconet.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mance Contract</w:t>
      </w:r>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pPr>
      <w:bookmarkStart w:id="62" w:name="_Toc181700865"/>
      <w:r>
        <w:t>8</w:t>
      </w:r>
      <w:r w:rsidR="00583C01" w:rsidRPr="00867831">
        <w:t xml:space="preserve">. </w:t>
      </w:r>
      <w:r w:rsidR="00583C01">
        <w:t>FONDI E ACCANTONAMENTI</w:t>
      </w:r>
      <w:bookmarkEnd w:id="62"/>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3378D028" w14:textId="77777777" w:rsidTr="005B1FBB">
        <w:tc>
          <w:tcPr>
            <w:tcW w:w="9024" w:type="dxa"/>
            <w:shd w:val="clear" w:color="auto" w:fill="FFFFFF" w:themeFill="background1"/>
          </w:tcPr>
          <w:p w14:paraId="6D756535" w14:textId="7AEE574A"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comma </w:t>
            </w:r>
            <w:r w:rsidR="00062E4A">
              <w:rPr>
                <w:rFonts w:ascii="Arial" w:eastAsia="Arial" w:hAnsi="Arial" w:cs="Arial"/>
                <w:color w:val="000000"/>
                <w:szCs w:val="22"/>
              </w:rPr>
              <w:t>789</w:t>
            </w:r>
            <w:r w:rsidRPr="00C96C3D">
              <w:rPr>
                <w:rFonts w:ascii="Arial" w:eastAsia="Arial" w:hAnsi="Arial" w:cs="Arial"/>
                <w:color w:val="000000"/>
                <w:szCs w:val="22"/>
              </w:rPr>
              <w:t xml:space="preserve"> </w:t>
            </w:r>
            <w:r w:rsidR="00AF7672" w:rsidRPr="00F044FD">
              <w:rPr>
                <w:rFonts w:ascii="Arial" w:eastAsia="Arial" w:hAnsi="Arial" w:cs="Arial"/>
                <w:color w:val="000000"/>
                <w:szCs w:val="22"/>
              </w:rPr>
              <w:t xml:space="preserve">dell’articolo 1 della </w:t>
            </w:r>
            <w:r w:rsidR="00AF7672">
              <w:rPr>
                <w:rFonts w:ascii="Arial" w:eastAsia="Arial" w:hAnsi="Arial" w:cs="Arial"/>
                <w:color w:val="000000"/>
                <w:szCs w:val="22"/>
              </w:rPr>
              <w:t>Legge</w:t>
            </w:r>
            <w:r w:rsidR="00AF7672" w:rsidRPr="00AF7672">
              <w:rPr>
                <w:rFonts w:ascii="Arial" w:eastAsia="Arial" w:hAnsi="Arial" w:cs="Arial"/>
                <w:color w:val="000000"/>
                <w:szCs w:val="22"/>
              </w:rPr>
              <w:t xml:space="preserve"> 30 dicembre 2024, n. 207 </w:t>
            </w:r>
            <w:r w:rsidR="00AF7672">
              <w:rPr>
                <w:rFonts w:ascii="Arial" w:eastAsia="Arial" w:hAnsi="Arial" w:cs="Arial"/>
                <w:color w:val="000000"/>
                <w:szCs w:val="22"/>
              </w:rPr>
              <w:t xml:space="preserve">- </w:t>
            </w:r>
            <w:r w:rsidR="00AF7672" w:rsidRPr="00F044FD">
              <w:rPr>
                <w:rFonts w:ascii="Arial" w:eastAsia="Arial" w:hAnsi="Arial" w:cs="Arial"/>
                <w:color w:val="000000"/>
                <w:szCs w:val="22"/>
              </w:rPr>
              <w:t>L</w:t>
            </w:r>
            <w:r w:rsidR="00AF7672">
              <w:rPr>
                <w:rFonts w:ascii="Arial" w:eastAsia="Arial" w:hAnsi="Arial" w:cs="Arial"/>
                <w:color w:val="000000"/>
                <w:szCs w:val="22"/>
              </w:rPr>
              <w:t xml:space="preserve">egge di </w:t>
            </w:r>
            <w:r w:rsidR="00AF7672" w:rsidRPr="00F044FD">
              <w:rPr>
                <w:rFonts w:ascii="Arial" w:eastAsia="Arial" w:hAnsi="Arial" w:cs="Arial"/>
                <w:color w:val="000000"/>
                <w:szCs w:val="22"/>
              </w:rPr>
              <w:t>B</w:t>
            </w:r>
            <w:r w:rsidR="00AF7672">
              <w:rPr>
                <w:rFonts w:ascii="Arial" w:eastAsia="Arial" w:hAnsi="Arial" w:cs="Arial"/>
                <w:color w:val="000000"/>
                <w:szCs w:val="22"/>
              </w:rPr>
              <w:t>ilancio</w:t>
            </w:r>
            <w:r w:rsidR="00AF7672" w:rsidRPr="00F044FD">
              <w:rPr>
                <w:rFonts w:ascii="Arial" w:eastAsia="Arial" w:hAnsi="Arial" w:cs="Arial"/>
                <w:color w:val="000000"/>
                <w:szCs w:val="22"/>
              </w:rPr>
              <w:t xml:space="preserve"> 2025</w:t>
            </w:r>
            <w:r w:rsidR="00AF7672">
              <w:rPr>
                <w:rFonts w:ascii="Arial" w:eastAsia="Arial" w:hAnsi="Arial" w:cs="Arial"/>
                <w:color w:val="000000"/>
                <w:szCs w:val="22"/>
              </w:rPr>
              <w:t>-</w:t>
            </w:r>
            <w:r w:rsidRPr="00C96C3D">
              <w:rPr>
                <w:rFonts w:ascii="Arial" w:eastAsia="Arial" w:hAnsi="Arial" w:cs="Arial"/>
                <w:color w:val="000000"/>
                <w:szCs w:val="22"/>
              </w:rPr>
              <w:t xml:space="preserve"> </w:t>
            </w:r>
            <w:r w:rsidR="00062E4A">
              <w:rPr>
                <w:rFonts w:ascii="Arial" w:eastAsia="Arial" w:hAnsi="Arial" w:cs="Arial"/>
                <w:color w:val="000000"/>
                <w:szCs w:val="22"/>
              </w:rPr>
              <w:t>dispone</w:t>
            </w:r>
            <w:r w:rsidR="00062E4A" w:rsidRPr="00C96C3D">
              <w:rPr>
                <w:rFonts w:ascii="Arial" w:eastAsia="Arial" w:hAnsi="Arial" w:cs="Arial"/>
                <w:color w:val="000000"/>
                <w:szCs w:val="22"/>
              </w:rPr>
              <w:t xml:space="preserve"> </w:t>
            </w:r>
            <w:r w:rsidRPr="00C96C3D">
              <w:rPr>
                <w:rFonts w:ascii="Arial" w:eastAsia="Arial" w:hAnsi="Arial" w:cs="Arial"/>
                <w:color w:val="000000"/>
                <w:szCs w:val="22"/>
              </w:rPr>
              <w:t xml:space="preserve">che per ciascuno degli anni dal 2025 al 2029, gli enti locali </w:t>
            </w:r>
            <w:r w:rsidR="00062E4A">
              <w:rPr>
                <w:rFonts w:ascii="Arial" w:eastAsia="Arial" w:hAnsi="Arial" w:cs="Arial"/>
                <w:color w:val="000000"/>
                <w:szCs w:val="22"/>
              </w:rPr>
              <w:t>iscrivono nella Missione 20, Fondi  e accantonamenti,  della parte corrente di ciascuno degli esercizi del bilancio di previsione</w:t>
            </w:r>
            <w:r w:rsidRPr="00C96C3D">
              <w:rPr>
                <w:rFonts w:ascii="Arial" w:eastAsia="Arial" w:hAnsi="Arial" w:cs="Arial"/>
                <w:color w:val="000000"/>
                <w:szCs w:val="22"/>
              </w:rPr>
              <w:t xml:space="preserve"> un fondo di importo pari al contributo annuale alla finanza pubblica </w:t>
            </w:r>
            <w:r w:rsidR="00062E4A">
              <w:rPr>
                <w:rFonts w:ascii="Arial" w:eastAsia="Arial" w:hAnsi="Arial" w:cs="Arial"/>
                <w:color w:val="000000"/>
                <w:szCs w:val="22"/>
              </w:rPr>
              <w:t>di cui ai commi  da 786 a 788 del</w:t>
            </w:r>
            <w:r w:rsidR="00AF7672">
              <w:rPr>
                <w:rFonts w:ascii="Arial" w:eastAsia="Arial" w:hAnsi="Arial" w:cs="Arial"/>
                <w:color w:val="000000"/>
                <w:szCs w:val="22"/>
              </w:rPr>
              <w:t xml:space="preserve"> citato </w:t>
            </w:r>
            <w:r w:rsidR="00062E4A">
              <w:rPr>
                <w:rFonts w:ascii="Arial" w:eastAsia="Arial" w:hAnsi="Arial" w:cs="Arial"/>
                <w:color w:val="000000"/>
                <w:szCs w:val="22"/>
              </w:rPr>
              <w:t>articolo 1</w:t>
            </w:r>
            <w:r w:rsidRPr="00C96C3D">
              <w:rPr>
                <w:rFonts w:ascii="Arial" w:eastAsia="Arial" w:hAnsi="Arial" w:cs="Arial"/>
                <w:color w:val="000000"/>
                <w:szCs w:val="22"/>
              </w:rPr>
              <w:t xml:space="preserve">, fermo restando il rispetto dell’equilibrio di bilancio di parte corrente di cui all’articolo 40 del decreto legislativo n. 118 del 2011 e dell’articolo 162, comma 6, del decreto legislativo n. 267 del 2000. </w:t>
            </w:r>
          </w:p>
          <w:p w14:paraId="5E4C0BA1" w14:textId="05764431" w:rsidR="00C3166B" w:rsidRDefault="00062E4A" w:rsidP="00E1450A">
            <w:pPr>
              <w:spacing w:line="240" w:lineRule="auto"/>
              <w:ind w:left="0" w:hanging="2"/>
              <w:outlineLvl w:val="9"/>
              <w:rPr>
                <w:rFonts w:ascii="Arial" w:eastAsia="Arial" w:hAnsi="Arial" w:cs="Arial"/>
                <w:color w:val="000000"/>
                <w:szCs w:val="22"/>
              </w:rPr>
            </w:pPr>
            <w:r>
              <w:rPr>
                <w:rFonts w:ascii="Arial" w:eastAsia="Arial" w:hAnsi="Arial" w:cs="Arial"/>
                <w:color w:val="000000"/>
                <w:szCs w:val="22"/>
              </w:rPr>
              <w:t>Con riferimento al</w:t>
            </w:r>
            <w:r w:rsidR="00C96C3D" w:rsidRPr="00C96C3D">
              <w:rPr>
                <w:rFonts w:ascii="Arial" w:eastAsia="Arial" w:hAnsi="Arial" w:cs="Arial"/>
                <w:color w:val="000000"/>
                <w:szCs w:val="22"/>
              </w:rPr>
              <w:t xml:space="preserve"> bilancio di previsione 2025-2027, il fondo</w:t>
            </w:r>
            <w:r>
              <w:rPr>
                <w:rFonts w:ascii="Arial" w:eastAsia="Arial" w:hAnsi="Arial" w:cs="Arial"/>
                <w:color w:val="000000"/>
                <w:szCs w:val="22"/>
              </w:rPr>
              <w:t xml:space="preserve"> è iscritto</w:t>
            </w:r>
            <w:r w:rsidR="00C96C3D" w:rsidRPr="00C96C3D">
              <w:rPr>
                <w:rFonts w:ascii="Arial" w:eastAsia="Arial" w:hAnsi="Arial" w:cs="Arial"/>
                <w:color w:val="000000"/>
                <w:szCs w:val="22"/>
              </w:rPr>
              <w:t xml:space="preserve"> entro 30 giorni dal riparto del contributo con variazione di bilancio approvata dal Consiglio</w:t>
            </w:r>
            <w:r w:rsidR="00C3166B">
              <w:rPr>
                <w:rFonts w:ascii="Arial" w:eastAsia="Arial" w:hAnsi="Arial" w:cs="Arial"/>
                <w:color w:val="000000"/>
                <w:szCs w:val="22"/>
              </w:rPr>
              <w:t>.</w:t>
            </w:r>
          </w:p>
          <w:p w14:paraId="4BB8A60D" w14:textId="09B6FF72" w:rsidR="00C96C3D" w:rsidRPr="00C96C3D" w:rsidRDefault="00C3166B" w:rsidP="00AF7672">
            <w:pPr>
              <w:spacing w:line="240" w:lineRule="auto"/>
              <w:ind w:leftChars="0" w:left="0" w:firstLineChars="0" w:firstLine="0"/>
              <w:outlineLvl w:val="9"/>
              <w:rPr>
                <w:rFonts w:ascii="Arial" w:eastAsia="Arial" w:hAnsi="Arial" w:cs="Arial"/>
                <w:color w:val="000000"/>
                <w:szCs w:val="22"/>
              </w:rPr>
            </w:pPr>
            <w:r>
              <w:rPr>
                <w:rFonts w:ascii="Arial" w:eastAsia="Arial" w:hAnsi="Arial" w:cs="Arial"/>
                <w:color w:val="000000"/>
                <w:szCs w:val="22"/>
              </w:rPr>
              <w:t>La costituzione del fondo, sul quale non è possibile disporre impegni, è finanziata attraverso le risorse di parte corrente</w:t>
            </w:r>
            <w:r w:rsidR="00AF7672">
              <w:rPr>
                <w:rFonts w:ascii="Arial" w:eastAsia="Arial" w:hAnsi="Arial" w:cs="Arial"/>
                <w:color w:val="000000"/>
                <w:szCs w:val="22"/>
              </w:rPr>
              <w:t>.</w:t>
            </w:r>
          </w:p>
          <w:p w14:paraId="05C72E0C" w14:textId="3FBB9A51"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Il comma 7</w:t>
            </w:r>
            <w:r w:rsidR="00062E4A">
              <w:rPr>
                <w:rFonts w:ascii="Arial" w:eastAsia="Arial" w:hAnsi="Arial" w:cs="Arial"/>
                <w:color w:val="000000"/>
                <w:szCs w:val="22"/>
              </w:rPr>
              <w:t>90</w:t>
            </w:r>
            <w:r w:rsidRPr="00C96C3D">
              <w:rPr>
                <w:rFonts w:ascii="Arial" w:eastAsia="Arial" w:hAnsi="Arial" w:cs="Arial"/>
                <w:color w:val="000000"/>
                <w:szCs w:val="22"/>
              </w:rPr>
              <w:t xml:space="preserve"> disciplina la destinazione del fondo prevedendo che: </w:t>
            </w:r>
          </w:p>
          <w:p w14:paraId="453E365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avanzo o con risultato di amministrazione pari a zero alla fine dell’esercizio precedente, il fondo confluisce nella quota accantonata del risultato di amministrazione destinata al finanziamento di investimenti, anche indiretti, nell’esercizio successivo, prioritariamente rispetto alla formazione di nuovo debito; </w:t>
            </w:r>
          </w:p>
          <w:p w14:paraId="7EB84381" w14:textId="6B656ED9"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per gli enti in</w:t>
            </w:r>
            <w:r w:rsidR="00062E4A">
              <w:rPr>
                <w:rFonts w:ascii="Arial" w:eastAsia="Arial" w:hAnsi="Arial" w:cs="Arial"/>
                <w:color w:val="000000"/>
                <w:szCs w:val="22"/>
              </w:rPr>
              <w:t xml:space="preserve"> situazione di</w:t>
            </w:r>
            <w:r w:rsidRPr="00C96C3D">
              <w:rPr>
                <w:rFonts w:ascii="Arial" w:eastAsia="Arial" w:hAnsi="Arial" w:cs="Arial"/>
                <w:color w:val="000000"/>
                <w:szCs w:val="22"/>
              </w:rPr>
              <w:t xml:space="preserve"> disavanzo </w:t>
            </w:r>
            <w:r w:rsidR="00062E4A">
              <w:rPr>
                <w:rFonts w:ascii="Arial" w:eastAsia="Arial" w:hAnsi="Arial" w:cs="Arial"/>
                <w:color w:val="000000"/>
                <w:szCs w:val="22"/>
              </w:rPr>
              <w:t xml:space="preserve">di amministrazione </w:t>
            </w:r>
            <w:r w:rsidRPr="00C96C3D">
              <w:rPr>
                <w:rFonts w:ascii="Arial" w:eastAsia="Arial" w:hAnsi="Arial" w:cs="Arial"/>
                <w:color w:val="000000"/>
                <w:szCs w:val="22"/>
              </w:rPr>
              <w:t>alla fine dell’esercizio precedente, il fondo costituisce un’economia che concorre al ripiano anticipato del disavanzo di amministrazione,</w:t>
            </w:r>
            <w:r w:rsidR="00062E4A">
              <w:rPr>
                <w:rFonts w:ascii="Arial" w:eastAsia="Arial" w:hAnsi="Arial" w:cs="Arial"/>
                <w:color w:val="000000"/>
                <w:szCs w:val="22"/>
              </w:rPr>
              <w:t xml:space="preserve"> in misura</w:t>
            </w:r>
            <w:r w:rsidRPr="00C96C3D">
              <w:rPr>
                <w:rFonts w:ascii="Arial" w:eastAsia="Arial" w:hAnsi="Arial" w:cs="Arial"/>
                <w:color w:val="000000"/>
                <w:szCs w:val="22"/>
              </w:rPr>
              <w:t xml:space="preserve"> aggiuntiv</w:t>
            </w:r>
            <w:r w:rsidR="00062E4A">
              <w:rPr>
                <w:rFonts w:ascii="Arial" w:eastAsia="Arial" w:hAnsi="Arial" w:cs="Arial"/>
                <w:color w:val="000000"/>
                <w:szCs w:val="22"/>
              </w:rPr>
              <w:t>a</w:t>
            </w:r>
            <w:r w:rsidRPr="00C96C3D">
              <w:rPr>
                <w:rFonts w:ascii="Arial" w:eastAsia="Arial" w:hAnsi="Arial" w:cs="Arial"/>
                <w:color w:val="000000"/>
                <w:szCs w:val="22"/>
              </w:rPr>
              <w:t xml:space="preserve"> rispetto a </w:t>
            </w:r>
            <w:r w:rsidR="00062E4A">
              <w:rPr>
                <w:rFonts w:ascii="Arial" w:eastAsia="Arial" w:hAnsi="Arial" w:cs="Arial"/>
                <w:color w:val="000000"/>
                <w:szCs w:val="22"/>
              </w:rPr>
              <w:t>quanto</w:t>
            </w:r>
            <w:r w:rsidR="00062E4A" w:rsidRPr="00C96C3D">
              <w:rPr>
                <w:rFonts w:ascii="Arial" w:eastAsia="Arial" w:hAnsi="Arial" w:cs="Arial"/>
                <w:color w:val="000000"/>
                <w:szCs w:val="22"/>
              </w:rPr>
              <w:t xml:space="preserve"> </w:t>
            </w:r>
            <w:r w:rsidRPr="00C96C3D">
              <w:rPr>
                <w:rFonts w:ascii="Arial" w:eastAsia="Arial" w:hAnsi="Arial" w:cs="Arial"/>
                <w:color w:val="000000"/>
                <w:szCs w:val="22"/>
              </w:rPr>
              <w:t xml:space="preserve">previsto nel bilancio di previsione. </w:t>
            </w:r>
          </w:p>
          <w:p w14:paraId="47164E17" w14:textId="1CDC55D6" w:rsidR="00C4746F" w:rsidRPr="00C96C3D" w:rsidRDefault="00C4746F" w:rsidP="00E1450A">
            <w:pPr>
              <w:spacing w:line="240" w:lineRule="auto"/>
              <w:ind w:left="0" w:hanging="2"/>
              <w:outlineLvl w:val="9"/>
              <w:rPr>
                <w:rFonts w:ascii="Arial" w:eastAsia="Arial" w:hAnsi="Arial" w:cs="Arial"/>
                <w:color w:val="000000"/>
                <w:szCs w:val="22"/>
              </w:rPr>
            </w:pPr>
            <w:r>
              <w:rPr>
                <w:rFonts w:ascii="Arial" w:eastAsia="Arial" w:hAnsi="Arial" w:cs="Arial"/>
                <w:color w:val="000000"/>
                <w:szCs w:val="22"/>
              </w:rPr>
              <w:t>Il comma 793 dispone che per gli enti che non trasmettono entro il 31 maggio alla BDAP i dati di consuntivo o preconsuntivo relativi all’esercizio precedente il contributo alla finanza pubblica è incrementato del 10% con le modalità di cui al comma 792. Nel caso di enti per i quali sono sospesi per legge i termini di approvazione del rendiconto di gestione a decorrere dal 2 gennaio 2025, tale maggiorazione non è applicata.</w:t>
            </w:r>
          </w:p>
          <w:p w14:paraId="20713E89" w14:textId="6A4EAD66"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Infine, </w:t>
            </w:r>
            <w:r w:rsidR="00062E4A">
              <w:rPr>
                <w:rFonts w:ascii="Arial" w:eastAsia="Arial" w:hAnsi="Arial" w:cs="Arial"/>
                <w:color w:val="000000"/>
                <w:szCs w:val="22"/>
              </w:rPr>
              <w:t>il</w:t>
            </w:r>
            <w:r w:rsidRPr="00C96C3D">
              <w:rPr>
                <w:rFonts w:ascii="Arial" w:eastAsia="Arial" w:hAnsi="Arial" w:cs="Arial"/>
                <w:color w:val="000000"/>
                <w:szCs w:val="22"/>
              </w:rPr>
              <w:t xml:space="preserve"> comma </w:t>
            </w:r>
            <w:r w:rsidR="00C4746F">
              <w:rPr>
                <w:rFonts w:ascii="Arial" w:eastAsia="Arial" w:hAnsi="Arial" w:cs="Arial"/>
                <w:color w:val="000000"/>
                <w:szCs w:val="22"/>
              </w:rPr>
              <w:t>794</w:t>
            </w:r>
            <w:r w:rsidRPr="00C96C3D">
              <w:rPr>
                <w:rFonts w:ascii="Arial" w:eastAsia="Arial" w:hAnsi="Arial" w:cs="Arial"/>
                <w:color w:val="000000"/>
                <w:szCs w:val="22"/>
              </w:rPr>
              <w:t xml:space="preserve"> autorizza l’aggiornamento degli schemi di rendiconto </w:t>
            </w:r>
            <w:r w:rsidR="00C4746F">
              <w:rPr>
                <w:rFonts w:ascii="Arial" w:eastAsia="Arial" w:hAnsi="Arial" w:cs="Arial"/>
                <w:color w:val="000000"/>
                <w:szCs w:val="22"/>
              </w:rPr>
              <w:t xml:space="preserve">della gestione 2025 </w:t>
            </w:r>
            <w:r w:rsidRPr="00C96C3D">
              <w:rPr>
                <w:rFonts w:ascii="Arial" w:eastAsia="Arial" w:hAnsi="Arial" w:cs="Arial"/>
                <w:color w:val="000000"/>
                <w:szCs w:val="22"/>
              </w:rPr>
              <w:t xml:space="preserve">e del bilancio di previsione </w:t>
            </w:r>
            <w:r w:rsidR="00C4746F">
              <w:rPr>
                <w:rFonts w:ascii="Arial" w:eastAsia="Arial" w:hAnsi="Arial" w:cs="Arial"/>
                <w:color w:val="000000"/>
                <w:szCs w:val="22"/>
              </w:rPr>
              <w:t xml:space="preserve">2026-2028 </w:t>
            </w:r>
            <w:r w:rsidRPr="00C96C3D">
              <w:rPr>
                <w:rFonts w:ascii="Arial" w:eastAsia="Arial" w:hAnsi="Arial" w:cs="Arial"/>
                <w:color w:val="000000"/>
                <w:szCs w:val="22"/>
              </w:rPr>
              <w:t xml:space="preserve">degli enti territoriali, a fine di consentire le verifiche del rispetto dell’equilibrio di bilancio e/o dell’accantonamento al fondo sulla base dei rendiconti trasmessi alla Bdap. All’aggiornamento si provvede entro 60 giorni dall’entrata in vigore </w:t>
            </w:r>
            <w:r>
              <w:rPr>
                <w:rFonts w:ascii="Arial" w:eastAsia="Arial" w:hAnsi="Arial" w:cs="Arial"/>
                <w:color w:val="000000"/>
                <w:szCs w:val="22"/>
              </w:rPr>
              <w:t>della Legge di bilancio 2025</w:t>
            </w:r>
            <w:r w:rsidRPr="00C96C3D">
              <w:rPr>
                <w:rFonts w:ascii="Arial" w:eastAsia="Arial" w:hAnsi="Arial" w:cs="Arial"/>
                <w:color w:val="000000"/>
                <w:szCs w:val="22"/>
              </w:rPr>
              <w:t xml:space="preserve"> con apposito </w:t>
            </w:r>
            <w:r w:rsidR="00C4746F">
              <w:rPr>
                <w:rFonts w:ascii="Arial" w:eastAsia="Arial" w:hAnsi="Arial" w:cs="Arial"/>
                <w:color w:val="000000"/>
                <w:szCs w:val="22"/>
              </w:rPr>
              <w:t>decreto del Ragioniere dello Stato.</w:t>
            </w:r>
          </w:p>
        </w:tc>
      </w:tr>
    </w:tbl>
    <w:p w14:paraId="3CD665D3"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3" w:name="_Toc181700866"/>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3"/>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6F7940D6"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20BC4C34" w14:textId="726D468E"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72C41FC2" w14:textId="4C40F11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4" w:name="_Toc181700867"/>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4"/>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5" w:name="_Toc181700868"/>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5"/>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C04423"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nella missione 20, programma 2 è presente un accantonamento al fondo crediti di dubbia esigibilità (FCDE) </w:t>
      </w:r>
      <w:r w:rsidR="0091260C">
        <w:rPr>
          <w:rFonts w:ascii="Arial" w:eastAsia="Arial" w:hAnsi="Arial" w:cs="Arial"/>
          <w:color w:val="000000"/>
          <w:szCs w:val="22"/>
        </w:rPr>
        <w:t>così dettagliato:</w:t>
      </w:r>
    </w:p>
    <w:p w14:paraId="1C99B447" w14:textId="33E5ED6E" w:rsidR="0091260C" w:rsidRPr="006A3916" w:rsidRDefault="0091260C" w:rsidP="009126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16</w:t>
      </w:r>
    </w:p>
    <w:p w14:paraId="6E26B383" w14:textId="4FA5C1DD" w:rsidR="000F434D" w:rsidRPr="00BB1C0C" w:rsidRDefault="000F434D" w:rsidP="0091260C">
      <w:pPr>
        <w:widowControl w:val="0"/>
        <w:pBdr>
          <w:top w:val="nil"/>
          <w:left w:val="nil"/>
          <w:bottom w:val="nil"/>
          <w:right w:val="nil"/>
          <w:between w:val="nil"/>
        </w:pBdr>
        <w:spacing w:line="240" w:lineRule="auto"/>
        <w:ind w:leftChars="353" w:left="779"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37B5F17D"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Arconet</w:t>
      </w:r>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All.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DC97823"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6" w:name="_heading=h.1jlao46" w:colFirst="0" w:colLast="0"/>
      <w:bookmarkEnd w:id="66"/>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7" w:name="_Toc181700869"/>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7"/>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77BF900F"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EB1F06">
        <w:rPr>
          <w:rFonts w:ascii="Arial" w:eastAsia="Arial" w:hAnsi="Arial" w:cs="Arial"/>
          <w:color w:val="000000"/>
          <w:szCs w:val="22"/>
        </w:rPr>
        <w:t>5</w:t>
      </w:r>
      <w:r w:rsidR="000F434D">
        <w:rPr>
          <w:rFonts w:ascii="Arial" w:eastAsia="Arial" w:hAnsi="Arial" w:cs="Arial"/>
          <w:color w:val="000000"/>
          <w:szCs w:val="22"/>
        </w:rPr>
        <w:t>-202</w:t>
      </w:r>
      <w:r w:rsidR="00EB1F06">
        <w:rPr>
          <w:rFonts w:ascii="Arial" w:eastAsia="Arial" w:hAnsi="Arial" w:cs="Arial"/>
          <w:color w:val="000000"/>
          <w:szCs w:val="22"/>
        </w:rPr>
        <w:t>7</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8" w:name="_heading=h.3hv69ve" w:colFirst="0" w:colLast="0"/>
      <w:bookmarkEnd w:id="68"/>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71D6893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2025-2027</w:t>
      </w:r>
      <w:r w:rsidR="00E5098A">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3B784614" w14:textId="44F124BA" w:rsidR="00D20521" w:rsidRDefault="00D20521" w:rsidP="00D20521">
      <w:pPr>
        <w:pBdr>
          <w:top w:val="nil"/>
          <w:left w:val="nil"/>
          <w:bottom w:val="nil"/>
          <w:right w:val="nil"/>
          <w:between w:val="nil"/>
        </w:pBdr>
        <w:spacing w:line="240" w:lineRule="auto"/>
        <w:ind w:hanging="2"/>
        <w:rPr>
          <w:rFonts w:ascii="Arial" w:eastAsia="Arial" w:hAnsi="Arial" w:cs="Arial"/>
          <w:color w:val="000000"/>
          <w:szCs w:val="22"/>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9" w:name="_Toc181700870"/>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9"/>
      <w:r w:rsidR="003301B0" w:rsidRPr="00B96B45">
        <w:rPr>
          <w:rFonts w:ascii="Calibri" w:eastAsiaTheme="majorEastAsia" w:hAnsi="Calibri" w:cs="Times New Roman (Titoli CS)"/>
          <w:b/>
          <w:i/>
          <w:iCs/>
          <w:color w:val="C00000"/>
          <w:sz w:val="28"/>
          <w:szCs w:val="40"/>
        </w:rPr>
        <w:t xml:space="preserve"> </w:t>
      </w:r>
    </w:p>
    <w:p w14:paraId="5C0FCB21" w14:textId="7ED3EC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A11B2">
        <w:rPr>
          <w:rFonts w:ascii="Arial" w:eastAsia="Arial" w:hAnsi="Arial" w:cs="Arial"/>
          <w:color w:val="000000"/>
          <w:szCs w:val="22"/>
        </w:rPr>
        <w:t>4</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81700871"/>
      <w:r>
        <w:t>9</w:t>
      </w:r>
      <w:r w:rsidRPr="00867831">
        <w:t xml:space="preserve">. </w:t>
      </w:r>
      <w:r>
        <w:t>INDEBITAMENTO</w:t>
      </w:r>
      <w:bookmarkEnd w:id="70"/>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3EED25CF"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EB1F06">
        <w:rPr>
          <w:rFonts w:ascii="Arial" w:eastAsia="Arial" w:hAnsi="Arial" w:cs="Arial"/>
          <w:i/>
          <w:color w:val="00B0F0"/>
          <w:szCs w:val="22"/>
        </w:rPr>
        <w:t>5</w:t>
      </w:r>
      <w:r w:rsidRPr="003863A0">
        <w:rPr>
          <w:rFonts w:ascii="Arial" w:eastAsia="Arial" w:hAnsi="Arial" w:cs="Arial"/>
          <w:i/>
          <w:color w:val="00B0F0"/>
          <w:szCs w:val="22"/>
        </w:rPr>
        <w:t>-202</w:t>
      </w:r>
      <w:r w:rsidR="00EB1F06">
        <w:rPr>
          <w:rFonts w:ascii="Arial" w:eastAsia="Arial" w:hAnsi="Arial" w:cs="Arial"/>
          <w:i/>
          <w:color w:val="00B0F0"/>
          <w:szCs w:val="22"/>
        </w:rPr>
        <w:t>7</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B4BC06B"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03AB1AF8"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1" w:name="_heading=h.2afmg28" w:colFirst="0" w:colLast="0"/>
      <w:bookmarkEnd w:id="71"/>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18B6B728"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End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650DBDA7" w14:textId="676BD952"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2" w:name="_heading=h.pkwqa1" w:colFirst="0" w:colLast="0"/>
      <w:bookmarkEnd w:id="72"/>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3" w:name="_Toc181700872"/>
      <w:r>
        <w:t>10</w:t>
      </w:r>
      <w:r w:rsidRPr="00867831">
        <w:t xml:space="preserve">. </w:t>
      </w:r>
      <w:r>
        <w:t>ORGANISMI PARTECIPATI</w:t>
      </w:r>
      <w:bookmarkEnd w:id="73"/>
    </w:p>
    <w:p w14:paraId="42143A47" w14:textId="7B60F3AD"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A11B2">
        <w:rPr>
          <w:rFonts w:ascii="Arial" w:eastAsia="Arial" w:hAnsi="Arial" w:cs="Arial"/>
          <w:color w:val="000000"/>
          <w:szCs w:val="22"/>
        </w:rPr>
        <w:t>3</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4" w:name="_heading=h.48pi1tg" w:colFirst="0" w:colLast="0"/>
      <w:bookmarkEnd w:id="74"/>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12C25282"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5" w:name="_heading=h.2nusc19" w:colFirst="0" w:colLast="0"/>
      <w:bookmarkEnd w:id="75"/>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B827F85"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A71072B"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31.12.202</w:t>
      </w:r>
      <w:r w:rsidR="00BA11B2" w:rsidRPr="00BE32C7">
        <w:rPr>
          <w:rFonts w:ascii="Arial" w:hAnsi="Arial" w:cs="Arial"/>
          <w:color w:val="auto"/>
        </w:rPr>
        <w:t>5</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066926DA" w:rsidR="000F434D" w:rsidRPr="00BE32C7" w:rsidRDefault="000F434D" w:rsidP="00E623BE">
      <w:pPr>
        <w:ind w:left="-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xml:space="preserve">), con proprio provvedimento motivato, all’analisi dell’assetto complessivo delle società in cui detiene partecipazioni, dirette 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0F434D">
      <w:pPr>
        <w:ind w:hanging="2"/>
        <w:rPr>
          <w:rFonts w:ascii="Arial" w:hAnsi="Arial" w:cs="Arial"/>
          <w:color w:val="auto"/>
        </w:rPr>
      </w:pPr>
    </w:p>
    <w:p w14:paraId="6C0BEA35" w14:textId="411C9FD0"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6" w:name="_heading=h.319y80a" w:colFirst="0" w:colLast="0"/>
      <w:bookmarkEnd w:id="76"/>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7" w:name="_Toc181700873"/>
      <w:r>
        <w:t>11</w:t>
      </w:r>
      <w:r w:rsidR="00B37E3E" w:rsidRPr="00867831">
        <w:t xml:space="preserve">. </w:t>
      </w:r>
      <w:r w:rsidR="00B37E3E">
        <w:t>PNRR</w:t>
      </w:r>
      <w:bookmarkEnd w:id="77"/>
    </w:p>
    <w:p w14:paraId="204F1DC5" w14:textId="69A33B5C" w:rsidR="000F434D"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0FC1AEDD" w14:textId="3C23649B"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BE32C7">
        <w:rPr>
          <w:rFonts w:ascii="Arial" w:hAnsi="Arial" w:cs="Arial"/>
          <w:b/>
          <w:bCs/>
          <w:color w:val="auto"/>
          <w:szCs w:val="22"/>
        </w:rPr>
        <w:t>produce/non produce</w:t>
      </w:r>
      <w:r w:rsidR="003426AB" w:rsidRPr="00BE32C7">
        <w:rPr>
          <w:rFonts w:ascii="Arial" w:hAnsi="Arial" w:cs="Arial"/>
          <w:color w:val="auto"/>
          <w:szCs w:val="22"/>
        </w:rPr>
        <w:t xml:space="preserve"> effetti negativi sull’equilibrio di cassa dell’Ente</w:t>
      </w:r>
      <w:r w:rsidR="00F57B99">
        <w:rPr>
          <w:rFonts w:ascii="Arial" w:hAnsi="Arial" w:cs="Arial"/>
          <w:color w:val="auto"/>
          <w:szCs w:val="22"/>
        </w:rPr>
        <w:t xml:space="preserve"> tenuto conto di quanto previsto dal Decreto MEF del 6 dicembre 2024 </w:t>
      </w:r>
      <w:r w:rsidR="00AA0DD4">
        <w:rPr>
          <w:rFonts w:ascii="Arial" w:hAnsi="Arial" w:cs="Arial"/>
          <w:color w:val="auto"/>
          <w:szCs w:val="22"/>
        </w:rPr>
        <w:t xml:space="preserve">fkussi </w:t>
      </w:r>
      <w:r w:rsidR="00F57B99">
        <w:rPr>
          <w:rFonts w:ascii="Arial" w:hAnsi="Arial" w:cs="Arial"/>
          <w:color w:val="auto"/>
          <w:szCs w:val="22"/>
        </w:rPr>
        <w:t xml:space="preserve"> – pubblicato </w:t>
      </w:r>
      <w:r w:rsidR="00A27E89">
        <w:rPr>
          <w:rFonts w:ascii="Arial" w:hAnsi="Arial" w:cs="Arial"/>
          <w:color w:val="auto"/>
          <w:szCs w:val="22"/>
        </w:rPr>
        <w:t>ne</w:t>
      </w:r>
      <w:r w:rsidR="00F57B99">
        <w:rPr>
          <w:rFonts w:ascii="Arial" w:hAnsi="Arial" w:cs="Arial"/>
          <w:color w:val="auto"/>
          <w:szCs w:val="22"/>
        </w:rPr>
        <w:t>lla Gazzetta Ufficiale n.</w:t>
      </w:r>
      <w:r w:rsidR="00A27E89">
        <w:rPr>
          <w:rFonts w:ascii="Arial" w:hAnsi="Arial" w:cs="Arial"/>
          <w:color w:val="auto"/>
          <w:szCs w:val="22"/>
        </w:rPr>
        <w:t>3 del 4.1.2025.</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31B0E33C"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 :</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ReGiS.</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r w:rsidR="008102EA">
        <w:rPr>
          <w:rFonts w:ascii="Arial" w:hAnsi="Arial" w:cs="Arial"/>
          <w:color w:val="auto"/>
          <w:szCs w:val="22"/>
        </w:rPr>
        <w:t>D.l.</w:t>
      </w:r>
      <w:r w:rsidR="005C01E7" w:rsidRPr="00BE32C7">
        <w:rPr>
          <w:rFonts w:ascii="Arial" w:hAnsi="Arial" w:cs="Arial"/>
          <w:color w:val="auto"/>
          <w:szCs w:val="22"/>
        </w:rPr>
        <w:t xml:space="preserve"> n.77/2021, ha iscritto a bilancio 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Arconet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0CBD46F5"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BA11B2" w:rsidRPr="00BE32C7">
        <w:rPr>
          <w:rFonts w:ascii="Arial" w:hAnsi="Arial" w:cs="Arial"/>
          <w:color w:val="auto"/>
          <w:szCs w:val="22"/>
        </w:rPr>
        <w:t>5-</w:t>
      </w:r>
      <w:r w:rsidRPr="00BE32C7">
        <w:rPr>
          <w:rFonts w:ascii="Arial" w:hAnsi="Arial" w:cs="Arial"/>
          <w:color w:val="auto"/>
          <w:szCs w:val="22"/>
        </w:rPr>
        <w:t>202</w:t>
      </w:r>
      <w:r w:rsidR="00BA11B2" w:rsidRPr="00BE32C7">
        <w:rPr>
          <w:rFonts w:ascii="Arial" w:hAnsi="Arial" w:cs="Arial"/>
          <w:color w:val="auto"/>
          <w:szCs w:val="22"/>
        </w:rPr>
        <w:t>7</w:t>
      </w:r>
      <w:r w:rsidRPr="00BE32C7">
        <w:rPr>
          <w:rFonts w:ascii="Arial" w:hAnsi="Arial" w:cs="Arial"/>
          <w:color w:val="auto"/>
          <w:szCs w:val="22"/>
        </w:rPr>
        <w:t xml:space="preserve"> in maniera coerente ai progetti del PNRR;</w:t>
      </w:r>
    </w:p>
    <w:p w14:paraId="3F35FB97" w14:textId="48121CDB"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BA11B2" w:rsidRPr="00BE32C7">
        <w:rPr>
          <w:rFonts w:ascii="Arial" w:hAnsi="Arial" w:cs="Arial"/>
          <w:color w:val="auto"/>
          <w:szCs w:val="22"/>
        </w:rPr>
        <w:t>5</w:t>
      </w:r>
      <w:r w:rsidRPr="00BE32C7">
        <w:rPr>
          <w:rFonts w:ascii="Arial" w:hAnsi="Arial" w:cs="Arial"/>
          <w:color w:val="auto"/>
          <w:szCs w:val="22"/>
        </w:rPr>
        <w:t xml:space="preserve"> personale a tempo determinato, in deroga agli ordinari limiti, ai sensi di quanto previsto dall’art.31-bis del D.l.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1D8BD180" w14:textId="58A080E9"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17F0E29C" w14:textId="72682161"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color w:val="auto"/>
          <w:szCs w:val="22"/>
        </w:rPr>
      </w:pPr>
      <w:r w:rsidRPr="00BE32C7">
        <w:rPr>
          <w:rFonts w:ascii="Arial" w:hAnsi="Arial" w:cs="Arial"/>
          <w:color w:val="auto"/>
          <w:szCs w:val="22"/>
        </w:rPr>
        <w:t>la corretta rappresentazione contabile mediante il rispetto della natura della spesa e la coerente fonte di finanziamento.</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8" w:name="_Toc181700874"/>
      <w:r>
        <w:t>12</w:t>
      </w:r>
      <w:r w:rsidR="00B37E3E" w:rsidRPr="00867831">
        <w:t xml:space="preserve">. </w:t>
      </w:r>
      <w:r>
        <w:t>OSSERVAZIONI E SUGGERIMENTI</w:t>
      </w:r>
      <w:bookmarkEnd w:id="78"/>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639B17B2"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BA11B2">
        <w:rPr>
          <w:rFonts w:ascii="Arial" w:eastAsia="Arial" w:hAnsi="Arial" w:cs="Arial"/>
          <w:color w:val="auto"/>
          <w:szCs w:val="22"/>
        </w:rPr>
        <w:t>4</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9" w:name="_Toc181700875"/>
      <w:r>
        <w:t>13</w:t>
      </w:r>
      <w:r w:rsidRPr="00867831">
        <w:t>.</w:t>
      </w:r>
      <w:r>
        <w:t xml:space="preserve"> CONCLUSIONI</w:t>
      </w:r>
      <w:bookmarkEnd w:id="79"/>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verificato che il bilancio è stato redatto nell’osservanza delle norme di Legge, dello statuto dell’Ente, del regolamento di contabilità, dei principi previsti dall’articolo 162 del TUEL 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47DAF27D"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71BF1EB0"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72263FAB"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0E247EAA"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3C0A3E44"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4"/>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44B169" w14:textId="77777777" w:rsidR="0080576D" w:rsidRDefault="0080576D" w:rsidP="00281EF7">
      <w:pPr>
        <w:spacing w:after="0" w:line="240" w:lineRule="auto"/>
      </w:pPr>
      <w:r>
        <w:separator/>
      </w:r>
    </w:p>
  </w:endnote>
  <w:endnote w:type="continuationSeparator" w:id="0">
    <w:p w14:paraId="7C71592C" w14:textId="77777777" w:rsidR="0080576D" w:rsidRDefault="0080576D"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916072728"/>
      <w:docPartObj>
        <w:docPartGallery w:val="Page Numbers (Bottom of Page)"/>
        <w:docPartUnique/>
      </w:docPartObj>
    </w:sdtPr>
    <w:sdtEndPr>
      <w:rPr>
        <w:rStyle w:val="Numeropagina"/>
      </w:rPr>
    </w:sdtEnd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b/>
        <w:bCs/>
        <w:sz w:val="21"/>
        <w:szCs w:val="20"/>
      </w:rPr>
      <w:id w:val="-1924484311"/>
      <w:docPartObj>
        <w:docPartGallery w:val="Page Numbers (Bottom of Page)"/>
        <w:docPartUnique/>
      </w:docPartObj>
    </w:sdtPr>
    <w:sdtEndPr>
      <w:rPr>
        <w:rStyle w:val="Numeropagina"/>
      </w:rPr>
    </w:sdtEnd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972DF6" w14:textId="77777777" w:rsidR="0080576D" w:rsidRDefault="0080576D" w:rsidP="00281EF7">
      <w:pPr>
        <w:spacing w:after="0" w:line="240" w:lineRule="auto"/>
      </w:pPr>
      <w:r>
        <w:separator/>
      </w:r>
    </w:p>
  </w:footnote>
  <w:footnote w:type="continuationSeparator" w:id="0">
    <w:p w14:paraId="32EEAAC8" w14:textId="77777777" w:rsidR="0080576D" w:rsidRDefault="0080576D" w:rsidP="00281EF7">
      <w:pPr>
        <w:spacing w:after="0" w:line="240" w:lineRule="auto"/>
      </w:pPr>
      <w:r>
        <w:continuationSeparator/>
      </w:r>
    </w:p>
  </w:footnote>
  <w:footnote w:id="1">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71F1B377" w14:textId="36C42541" w:rsidR="00A65CF4" w:rsidRDefault="00A65CF4"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3B0545" w:rsidRPr="00DB4356" w:rsidRDefault="003B0545" w:rsidP="003B0545">
      <w:pPr>
        <w:pStyle w:val="Testonotaapidipagina"/>
        <w:rPr>
          <w:color w:val="auto"/>
        </w:rPr>
      </w:pPr>
    </w:p>
  </w:footnote>
  <w:footnote w:id="2">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D</w:t>
      </w:r>
      <w:r w:rsidR="00E82796">
        <w:rPr>
          <w:color w:val="auto"/>
        </w:rPr>
        <w:t>.</w:t>
      </w:r>
      <w:r w:rsidR="007C4606" w:rsidRPr="007C4606">
        <w:rPr>
          <w:color w:val="auto"/>
        </w:rPr>
        <w:t>l</w:t>
      </w:r>
      <w:r w:rsidR="00E82796">
        <w:rPr>
          <w:color w:val="auto"/>
        </w:rPr>
        <w:t>.</w:t>
      </w:r>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3">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3A9D6771"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EB1F06">
      <w:rPr>
        <w:b/>
        <w:bCs/>
        <w:color w:val="595959" w:themeColor="text1" w:themeTint="A6"/>
        <w:sz w:val="18"/>
        <w:szCs w:val="16"/>
      </w:rPr>
      <w:t>5</w:t>
    </w:r>
    <w:r w:rsidR="000F434D">
      <w:rPr>
        <w:b/>
        <w:bCs/>
        <w:color w:val="595959" w:themeColor="text1" w:themeTint="A6"/>
        <w:sz w:val="18"/>
        <w:szCs w:val="16"/>
      </w:rPr>
      <w:t>-202</w:t>
    </w:r>
    <w:r w:rsidR="00EB1F06">
      <w:rPr>
        <w:b/>
        <w:bCs/>
        <w:color w:val="595959" w:themeColor="text1" w:themeTint="A6"/>
        <w:sz w:val="18"/>
        <w:szCs w:val="16"/>
      </w:rPr>
      <w:t>7</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F3F71" w14:textId="77777777" w:rsidR="000F434D" w:rsidRDefault="007B46B4"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End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2"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3"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6"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8"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2"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3"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6"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9"/>
  </w:num>
  <w:num w:numId="2" w16cid:durableId="1302151230">
    <w:abstractNumId w:val="10"/>
  </w:num>
  <w:num w:numId="3" w16cid:durableId="1343706755">
    <w:abstractNumId w:val="10"/>
    <w:lvlOverride w:ilvl="0">
      <w:startOverride w:val="1"/>
    </w:lvlOverride>
  </w:num>
  <w:num w:numId="4" w16cid:durableId="1141000271">
    <w:abstractNumId w:val="12"/>
  </w:num>
  <w:num w:numId="5" w16cid:durableId="24332491">
    <w:abstractNumId w:val="15"/>
  </w:num>
  <w:num w:numId="6" w16cid:durableId="1783916386">
    <w:abstractNumId w:val="16"/>
  </w:num>
  <w:num w:numId="7" w16cid:durableId="1773623878">
    <w:abstractNumId w:val="3"/>
  </w:num>
  <w:num w:numId="8" w16cid:durableId="2127431420">
    <w:abstractNumId w:val="4"/>
  </w:num>
  <w:num w:numId="9" w16cid:durableId="424887458">
    <w:abstractNumId w:val="6"/>
  </w:num>
  <w:num w:numId="10" w16cid:durableId="966592253">
    <w:abstractNumId w:val="13"/>
  </w:num>
  <w:num w:numId="11" w16cid:durableId="1117867663">
    <w:abstractNumId w:val="14"/>
  </w:num>
  <w:num w:numId="12" w16cid:durableId="1877500892">
    <w:abstractNumId w:val="7"/>
  </w:num>
  <w:num w:numId="13" w16cid:durableId="302973786">
    <w:abstractNumId w:val="0"/>
  </w:num>
  <w:num w:numId="14" w16cid:durableId="745610953">
    <w:abstractNumId w:val="2"/>
  </w:num>
  <w:num w:numId="15" w16cid:durableId="264339377">
    <w:abstractNumId w:val="5"/>
  </w:num>
  <w:num w:numId="16" w16cid:durableId="2058502255">
    <w:abstractNumId w:val="8"/>
  </w:num>
  <w:num w:numId="17" w16cid:durableId="970600842">
    <w:abstractNumId w:val="11"/>
  </w:num>
  <w:num w:numId="18" w16cid:durableId="1955625418">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37B83"/>
    <w:rsid w:val="00041220"/>
    <w:rsid w:val="00043C13"/>
    <w:rsid w:val="00044C13"/>
    <w:rsid w:val="00051D16"/>
    <w:rsid w:val="00055571"/>
    <w:rsid w:val="00057E67"/>
    <w:rsid w:val="0006092D"/>
    <w:rsid w:val="00062E4A"/>
    <w:rsid w:val="00067324"/>
    <w:rsid w:val="00070643"/>
    <w:rsid w:val="00073C23"/>
    <w:rsid w:val="0007605A"/>
    <w:rsid w:val="0007692F"/>
    <w:rsid w:val="00085541"/>
    <w:rsid w:val="00091F72"/>
    <w:rsid w:val="00092F2D"/>
    <w:rsid w:val="00095C98"/>
    <w:rsid w:val="000A20C5"/>
    <w:rsid w:val="000A2BF6"/>
    <w:rsid w:val="000B4737"/>
    <w:rsid w:val="000C146B"/>
    <w:rsid w:val="000D24C3"/>
    <w:rsid w:val="000D4A8B"/>
    <w:rsid w:val="000E379B"/>
    <w:rsid w:val="000E679E"/>
    <w:rsid w:val="000E7E0C"/>
    <w:rsid w:val="000F142A"/>
    <w:rsid w:val="000F434D"/>
    <w:rsid w:val="00100182"/>
    <w:rsid w:val="0010432F"/>
    <w:rsid w:val="001061E5"/>
    <w:rsid w:val="00106490"/>
    <w:rsid w:val="00111DCA"/>
    <w:rsid w:val="00113EBF"/>
    <w:rsid w:val="0011463D"/>
    <w:rsid w:val="0011753B"/>
    <w:rsid w:val="00120BF4"/>
    <w:rsid w:val="0012444A"/>
    <w:rsid w:val="00130ED4"/>
    <w:rsid w:val="00135AF1"/>
    <w:rsid w:val="00141985"/>
    <w:rsid w:val="0014487A"/>
    <w:rsid w:val="00144E3E"/>
    <w:rsid w:val="00145E1F"/>
    <w:rsid w:val="00147514"/>
    <w:rsid w:val="0016197D"/>
    <w:rsid w:val="00167FAB"/>
    <w:rsid w:val="00172F6C"/>
    <w:rsid w:val="001767AA"/>
    <w:rsid w:val="00180D69"/>
    <w:rsid w:val="00184760"/>
    <w:rsid w:val="001A33D4"/>
    <w:rsid w:val="001B0735"/>
    <w:rsid w:val="001B3481"/>
    <w:rsid w:val="001B46E7"/>
    <w:rsid w:val="001B4A48"/>
    <w:rsid w:val="001B736A"/>
    <w:rsid w:val="001C6E97"/>
    <w:rsid w:val="001D53E6"/>
    <w:rsid w:val="001D647A"/>
    <w:rsid w:val="001D7F3A"/>
    <w:rsid w:val="001E29DF"/>
    <w:rsid w:val="001F5CAC"/>
    <w:rsid w:val="002025FC"/>
    <w:rsid w:val="002050D7"/>
    <w:rsid w:val="00205A0B"/>
    <w:rsid w:val="00206EA1"/>
    <w:rsid w:val="0020781F"/>
    <w:rsid w:val="0022116F"/>
    <w:rsid w:val="0023056A"/>
    <w:rsid w:val="00232319"/>
    <w:rsid w:val="00243476"/>
    <w:rsid w:val="002507E0"/>
    <w:rsid w:val="00255646"/>
    <w:rsid w:val="002563F5"/>
    <w:rsid w:val="00271449"/>
    <w:rsid w:val="00274695"/>
    <w:rsid w:val="00281EF7"/>
    <w:rsid w:val="0028327B"/>
    <w:rsid w:val="0029715C"/>
    <w:rsid w:val="002A0A97"/>
    <w:rsid w:val="002A4ED2"/>
    <w:rsid w:val="002B08C9"/>
    <w:rsid w:val="002B1C98"/>
    <w:rsid w:val="002C0161"/>
    <w:rsid w:val="002C058A"/>
    <w:rsid w:val="002C30C4"/>
    <w:rsid w:val="002C614B"/>
    <w:rsid w:val="002D081B"/>
    <w:rsid w:val="002D58DE"/>
    <w:rsid w:val="002D6D33"/>
    <w:rsid w:val="002E4688"/>
    <w:rsid w:val="002E4FFA"/>
    <w:rsid w:val="002F0F0D"/>
    <w:rsid w:val="002F178F"/>
    <w:rsid w:val="002F3B15"/>
    <w:rsid w:val="002F4089"/>
    <w:rsid w:val="002F411C"/>
    <w:rsid w:val="002F421A"/>
    <w:rsid w:val="002F556C"/>
    <w:rsid w:val="002F712E"/>
    <w:rsid w:val="00302409"/>
    <w:rsid w:val="0030357B"/>
    <w:rsid w:val="00305F9B"/>
    <w:rsid w:val="0030743F"/>
    <w:rsid w:val="00312D6F"/>
    <w:rsid w:val="00312F8F"/>
    <w:rsid w:val="003141D3"/>
    <w:rsid w:val="0032503F"/>
    <w:rsid w:val="00326BD6"/>
    <w:rsid w:val="003301B0"/>
    <w:rsid w:val="0033174C"/>
    <w:rsid w:val="00331D66"/>
    <w:rsid w:val="003426AB"/>
    <w:rsid w:val="00347D92"/>
    <w:rsid w:val="003500C2"/>
    <w:rsid w:val="0035512D"/>
    <w:rsid w:val="003556D4"/>
    <w:rsid w:val="00360115"/>
    <w:rsid w:val="00364775"/>
    <w:rsid w:val="003669B9"/>
    <w:rsid w:val="0036703D"/>
    <w:rsid w:val="00373234"/>
    <w:rsid w:val="00377468"/>
    <w:rsid w:val="00390923"/>
    <w:rsid w:val="0039321F"/>
    <w:rsid w:val="00394D76"/>
    <w:rsid w:val="00395B39"/>
    <w:rsid w:val="00396382"/>
    <w:rsid w:val="00396869"/>
    <w:rsid w:val="00396950"/>
    <w:rsid w:val="003A265A"/>
    <w:rsid w:val="003A4429"/>
    <w:rsid w:val="003A475B"/>
    <w:rsid w:val="003A6841"/>
    <w:rsid w:val="003B0545"/>
    <w:rsid w:val="003B1D99"/>
    <w:rsid w:val="003C46F2"/>
    <w:rsid w:val="003C775D"/>
    <w:rsid w:val="003D0D20"/>
    <w:rsid w:val="003D5192"/>
    <w:rsid w:val="003E136B"/>
    <w:rsid w:val="003E2D93"/>
    <w:rsid w:val="003E77E0"/>
    <w:rsid w:val="003F28E9"/>
    <w:rsid w:val="003F2BB5"/>
    <w:rsid w:val="003F4BA1"/>
    <w:rsid w:val="003F5429"/>
    <w:rsid w:val="00406D3E"/>
    <w:rsid w:val="004076E1"/>
    <w:rsid w:val="00411C7D"/>
    <w:rsid w:val="00417480"/>
    <w:rsid w:val="0042220A"/>
    <w:rsid w:val="004235E2"/>
    <w:rsid w:val="00423C19"/>
    <w:rsid w:val="004314C0"/>
    <w:rsid w:val="00435447"/>
    <w:rsid w:val="00435AB9"/>
    <w:rsid w:val="00435D32"/>
    <w:rsid w:val="00436415"/>
    <w:rsid w:val="00445341"/>
    <w:rsid w:val="00445D4A"/>
    <w:rsid w:val="00452126"/>
    <w:rsid w:val="0045691F"/>
    <w:rsid w:val="0046012B"/>
    <w:rsid w:val="00472455"/>
    <w:rsid w:val="00480737"/>
    <w:rsid w:val="00483AB8"/>
    <w:rsid w:val="0049172B"/>
    <w:rsid w:val="00492A9B"/>
    <w:rsid w:val="00492BD1"/>
    <w:rsid w:val="00492E91"/>
    <w:rsid w:val="004938F9"/>
    <w:rsid w:val="00493F67"/>
    <w:rsid w:val="00495484"/>
    <w:rsid w:val="004A2A0D"/>
    <w:rsid w:val="004A794D"/>
    <w:rsid w:val="004B241B"/>
    <w:rsid w:val="004B4CFE"/>
    <w:rsid w:val="004B7240"/>
    <w:rsid w:val="004C3B23"/>
    <w:rsid w:val="004C5239"/>
    <w:rsid w:val="004D35C7"/>
    <w:rsid w:val="004D4002"/>
    <w:rsid w:val="004D4247"/>
    <w:rsid w:val="004D7BBE"/>
    <w:rsid w:val="004E1ADF"/>
    <w:rsid w:val="004E270E"/>
    <w:rsid w:val="004E710A"/>
    <w:rsid w:val="004F63CF"/>
    <w:rsid w:val="0050542C"/>
    <w:rsid w:val="00507D45"/>
    <w:rsid w:val="00511B92"/>
    <w:rsid w:val="00511D4D"/>
    <w:rsid w:val="00515733"/>
    <w:rsid w:val="00515A8D"/>
    <w:rsid w:val="00517045"/>
    <w:rsid w:val="005303BF"/>
    <w:rsid w:val="0053173F"/>
    <w:rsid w:val="005319D1"/>
    <w:rsid w:val="00531BA6"/>
    <w:rsid w:val="005347DC"/>
    <w:rsid w:val="00542E55"/>
    <w:rsid w:val="00542F48"/>
    <w:rsid w:val="00544D9B"/>
    <w:rsid w:val="00550C86"/>
    <w:rsid w:val="00557582"/>
    <w:rsid w:val="005601B4"/>
    <w:rsid w:val="00562550"/>
    <w:rsid w:val="005633BA"/>
    <w:rsid w:val="00564111"/>
    <w:rsid w:val="005665F9"/>
    <w:rsid w:val="005751E9"/>
    <w:rsid w:val="00580948"/>
    <w:rsid w:val="0058255E"/>
    <w:rsid w:val="00583C01"/>
    <w:rsid w:val="0058692F"/>
    <w:rsid w:val="00587DE9"/>
    <w:rsid w:val="00594798"/>
    <w:rsid w:val="00595F99"/>
    <w:rsid w:val="00597195"/>
    <w:rsid w:val="005A19F8"/>
    <w:rsid w:val="005A3C0A"/>
    <w:rsid w:val="005A7721"/>
    <w:rsid w:val="005A7F4E"/>
    <w:rsid w:val="005B1FBB"/>
    <w:rsid w:val="005C01E7"/>
    <w:rsid w:val="005C42EA"/>
    <w:rsid w:val="005C4E7F"/>
    <w:rsid w:val="005D50A9"/>
    <w:rsid w:val="005D5E36"/>
    <w:rsid w:val="005D67FF"/>
    <w:rsid w:val="005E57D2"/>
    <w:rsid w:val="005F5FD5"/>
    <w:rsid w:val="005F6721"/>
    <w:rsid w:val="0060722B"/>
    <w:rsid w:val="00612096"/>
    <w:rsid w:val="00614204"/>
    <w:rsid w:val="00615F9A"/>
    <w:rsid w:val="006202C9"/>
    <w:rsid w:val="0062092D"/>
    <w:rsid w:val="0062092F"/>
    <w:rsid w:val="00625DD6"/>
    <w:rsid w:val="00633192"/>
    <w:rsid w:val="00635C4D"/>
    <w:rsid w:val="00636897"/>
    <w:rsid w:val="00636DC7"/>
    <w:rsid w:val="00642459"/>
    <w:rsid w:val="006430B5"/>
    <w:rsid w:val="00643A5A"/>
    <w:rsid w:val="00660AEC"/>
    <w:rsid w:val="006636ED"/>
    <w:rsid w:val="00665DA4"/>
    <w:rsid w:val="00666658"/>
    <w:rsid w:val="00673269"/>
    <w:rsid w:val="00675758"/>
    <w:rsid w:val="0067743C"/>
    <w:rsid w:val="006859B9"/>
    <w:rsid w:val="006903EE"/>
    <w:rsid w:val="00693D95"/>
    <w:rsid w:val="006A2472"/>
    <w:rsid w:val="006A3916"/>
    <w:rsid w:val="006A4958"/>
    <w:rsid w:val="006C3174"/>
    <w:rsid w:val="006C6A64"/>
    <w:rsid w:val="006D3823"/>
    <w:rsid w:val="006D5552"/>
    <w:rsid w:val="006D6272"/>
    <w:rsid w:val="006E433B"/>
    <w:rsid w:val="006E4720"/>
    <w:rsid w:val="006E6CB2"/>
    <w:rsid w:val="006F27B9"/>
    <w:rsid w:val="006F2E00"/>
    <w:rsid w:val="006F3F23"/>
    <w:rsid w:val="006F67A9"/>
    <w:rsid w:val="007016B6"/>
    <w:rsid w:val="00701CA4"/>
    <w:rsid w:val="0070727A"/>
    <w:rsid w:val="00714F9D"/>
    <w:rsid w:val="007265D8"/>
    <w:rsid w:val="0073453C"/>
    <w:rsid w:val="0073753A"/>
    <w:rsid w:val="0074045B"/>
    <w:rsid w:val="0074109C"/>
    <w:rsid w:val="00741A4A"/>
    <w:rsid w:val="00743AB5"/>
    <w:rsid w:val="00744F31"/>
    <w:rsid w:val="0074538E"/>
    <w:rsid w:val="00745529"/>
    <w:rsid w:val="00746AEE"/>
    <w:rsid w:val="00756ABC"/>
    <w:rsid w:val="00775C30"/>
    <w:rsid w:val="00777129"/>
    <w:rsid w:val="00782786"/>
    <w:rsid w:val="007A1B21"/>
    <w:rsid w:val="007A1CA0"/>
    <w:rsid w:val="007B46B4"/>
    <w:rsid w:val="007B73B6"/>
    <w:rsid w:val="007C4606"/>
    <w:rsid w:val="007C5A6D"/>
    <w:rsid w:val="007C7D94"/>
    <w:rsid w:val="007D39DB"/>
    <w:rsid w:val="007E06BA"/>
    <w:rsid w:val="007E5DDB"/>
    <w:rsid w:val="007F0150"/>
    <w:rsid w:val="007F0B76"/>
    <w:rsid w:val="007F0FC6"/>
    <w:rsid w:val="007F1987"/>
    <w:rsid w:val="007F3E98"/>
    <w:rsid w:val="007F69A8"/>
    <w:rsid w:val="007F7881"/>
    <w:rsid w:val="00803C96"/>
    <w:rsid w:val="0080576D"/>
    <w:rsid w:val="00810164"/>
    <w:rsid w:val="008102EA"/>
    <w:rsid w:val="00813AFB"/>
    <w:rsid w:val="00823188"/>
    <w:rsid w:val="00830D93"/>
    <w:rsid w:val="00832D7E"/>
    <w:rsid w:val="008364BB"/>
    <w:rsid w:val="00841C1C"/>
    <w:rsid w:val="00842D55"/>
    <w:rsid w:val="008447CF"/>
    <w:rsid w:val="00851D77"/>
    <w:rsid w:val="008532B5"/>
    <w:rsid w:val="00856A66"/>
    <w:rsid w:val="008578F5"/>
    <w:rsid w:val="00860593"/>
    <w:rsid w:val="00864DBE"/>
    <w:rsid w:val="00867831"/>
    <w:rsid w:val="00867B04"/>
    <w:rsid w:val="00875C18"/>
    <w:rsid w:val="00883971"/>
    <w:rsid w:val="00886830"/>
    <w:rsid w:val="00887BC1"/>
    <w:rsid w:val="00891876"/>
    <w:rsid w:val="00895D91"/>
    <w:rsid w:val="008A2232"/>
    <w:rsid w:val="008A2E4B"/>
    <w:rsid w:val="008A30B2"/>
    <w:rsid w:val="008A5A9B"/>
    <w:rsid w:val="008A6BE0"/>
    <w:rsid w:val="008B3231"/>
    <w:rsid w:val="008B43D0"/>
    <w:rsid w:val="008B604E"/>
    <w:rsid w:val="008B6ABC"/>
    <w:rsid w:val="008C0610"/>
    <w:rsid w:val="008C18B8"/>
    <w:rsid w:val="008C57B1"/>
    <w:rsid w:val="008C6A4D"/>
    <w:rsid w:val="008D05EA"/>
    <w:rsid w:val="008D54E5"/>
    <w:rsid w:val="008D5BD6"/>
    <w:rsid w:val="008F18DF"/>
    <w:rsid w:val="0091207B"/>
    <w:rsid w:val="0091260C"/>
    <w:rsid w:val="00917E35"/>
    <w:rsid w:val="00920B00"/>
    <w:rsid w:val="009234C2"/>
    <w:rsid w:val="0092764A"/>
    <w:rsid w:val="00942955"/>
    <w:rsid w:val="00942BED"/>
    <w:rsid w:val="00944B2E"/>
    <w:rsid w:val="009516BB"/>
    <w:rsid w:val="00957094"/>
    <w:rsid w:val="009731D1"/>
    <w:rsid w:val="009751A3"/>
    <w:rsid w:val="00980DE5"/>
    <w:rsid w:val="00986212"/>
    <w:rsid w:val="00992BE0"/>
    <w:rsid w:val="009963A0"/>
    <w:rsid w:val="009A0E53"/>
    <w:rsid w:val="009A19A4"/>
    <w:rsid w:val="009A310B"/>
    <w:rsid w:val="009A6751"/>
    <w:rsid w:val="009B2CDC"/>
    <w:rsid w:val="009B3FDC"/>
    <w:rsid w:val="009B4E89"/>
    <w:rsid w:val="009B5660"/>
    <w:rsid w:val="009B5F5B"/>
    <w:rsid w:val="009C074F"/>
    <w:rsid w:val="009C323B"/>
    <w:rsid w:val="009C3C09"/>
    <w:rsid w:val="009D4EA8"/>
    <w:rsid w:val="009D78BC"/>
    <w:rsid w:val="009E4F49"/>
    <w:rsid w:val="009E69E9"/>
    <w:rsid w:val="009F0B54"/>
    <w:rsid w:val="009F0E85"/>
    <w:rsid w:val="009F2F63"/>
    <w:rsid w:val="00A002C7"/>
    <w:rsid w:val="00A00960"/>
    <w:rsid w:val="00A138CB"/>
    <w:rsid w:val="00A16468"/>
    <w:rsid w:val="00A20718"/>
    <w:rsid w:val="00A21157"/>
    <w:rsid w:val="00A25799"/>
    <w:rsid w:val="00A27E89"/>
    <w:rsid w:val="00A32DFF"/>
    <w:rsid w:val="00A34C85"/>
    <w:rsid w:val="00A419F4"/>
    <w:rsid w:val="00A44FFB"/>
    <w:rsid w:val="00A557E3"/>
    <w:rsid w:val="00A568D7"/>
    <w:rsid w:val="00A65CF4"/>
    <w:rsid w:val="00A729C8"/>
    <w:rsid w:val="00A733C5"/>
    <w:rsid w:val="00A73EAD"/>
    <w:rsid w:val="00A7674A"/>
    <w:rsid w:val="00A8375C"/>
    <w:rsid w:val="00A87C28"/>
    <w:rsid w:val="00A9089A"/>
    <w:rsid w:val="00A94685"/>
    <w:rsid w:val="00A95FC9"/>
    <w:rsid w:val="00A97438"/>
    <w:rsid w:val="00AA008C"/>
    <w:rsid w:val="00AA0DD4"/>
    <w:rsid w:val="00AA1F26"/>
    <w:rsid w:val="00AB4558"/>
    <w:rsid w:val="00AB6116"/>
    <w:rsid w:val="00AB65E4"/>
    <w:rsid w:val="00AC1A66"/>
    <w:rsid w:val="00AC607D"/>
    <w:rsid w:val="00AC6416"/>
    <w:rsid w:val="00AC783B"/>
    <w:rsid w:val="00AD2AA7"/>
    <w:rsid w:val="00AD3415"/>
    <w:rsid w:val="00AD3BE6"/>
    <w:rsid w:val="00AD7B50"/>
    <w:rsid w:val="00AF7672"/>
    <w:rsid w:val="00AF78D2"/>
    <w:rsid w:val="00B00D8A"/>
    <w:rsid w:val="00B067CB"/>
    <w:rsid w:val="00B135A7"/>
    <w:rsid w:val="00B13E47"/>
    <w:rsid w:val="00B250E9"/>
    <w:rsid w:val="00B254CC"/>
    <w:rsid w:val="00B25F4C"/>
    <w:rsid w:val="00B27D78"/>
    <w:rsid w:val="00B313AB"/>
    <w:rsid w:val="00B34CB1"/>
    <w:rsid w:val="00B37E3E"/>
    <w:rsid w:val="00B40868"/>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523A"/>
    <w:rsid w:val="00B95911"/>
    <w:rsid w:val="00B963D0"/>
    <w:rsid w:val="00B96B24"/>
    <w:rsid w:val="00B96B45"/>
    <w:rsid w:val="00BA11B2"/>
    <w:rsid w:val="00BA792B"/>
    <w:rsid w:val="00BB0106"/>
    <w:rsid w:val="00BB3565"/>
    <w:rsid w:val="00BC1BB3"/>
    <w:rsid w:val="00BC749A"/>
    <w:rsid w:val="00BD0F50"/>
    <w:rsid w:val="00BD1071"/>
    <w:rsid w:val="00BD60F6"/>
    <w:rsid w:val="00BE01D8"/>
    <w:rsid w:val="00BE32C7"/>
    <w:rsid w:val="00BE4104"/>
    <w:rsid w:val="00BE587A"/>
    <w:rsid w:val="00BF0ED1"/>
    <w:rsid w:val="00BF14F5"/>
    <w:rsid w:val="00BF1513"/>
    <w:rsid w:val="00BF4BB1"/>
    <w:rsid w:val="00C07C33"/>
    <w:rsid w:val="00C10A9D"/>
    <w:rsid w:val="00C1263F"/>
    <w:rsid w:val="00C1746A"/>
    <w:rsid w:val="00C3166B"/>
    <w:rsid w:val="00C31807"/>
    <w:rsid w:val="00C35E20"/>
    <w:rsid w:val="00C37189"/>
    <w:rsid w:val="00C41127"/>
    <w:rsid w:val="00C43994"/>
    <w:rsid w:val="00C46B64"/>
    <w:rsid w:val="00C4746F"/>
    <w:rsid w:val="00C53194"/>
    <w:rsid w:val="00C56315"/>
    <w:rsid w:val="00C623FE"/>
    <w:rsid w:val="00C65E80"/>
    <w:rsid w:val="00C701E4"/>
    <w:rsid w:val="00C71F19"/>
    <w:rsid w:val="00C73B04"/>
    <w:rsid w:val="00C76651"/>
    <w:rsid w:val="00C816DC"/>
    <w:rsid w:val="00C84CE8"/>
    <w:rsid w:val="00C94725"/>
    <w:rsid w:val="00C94C55"/>
    <w:rsid w:val="00C96A33"/>
    <w:rsid w:val="00C96C3D"/>
    <w:rsid w:val="00CB3DC7"/>
    <w:rsid w:val="00CC1C60"/>
    <w:rsid w:val="00CC2680"/>
    <w:rsid w:val="00CC4215"/>
    <w:rsid w:val="00CC7C87"/>
    <w:rsid w:val="00CD70FD"/>
    <w:rsid w:val="00CD7FEC"/>
    <w:rsid w:val="00CE2490"/>
    <w:rsid w:val="00CE3419"/>
    <w:rsid w:val="00CF07D9"/>
    <w:rsid w:val="00CF1580"/>
    <w:rsid w:val="00CF20D8"/>
    <w:rsid w:val="00CF228D"/>
    <w:rsid w:val="00D029B9"/>
    <w:rsid w:val="00D11502"/>
    <w:rsid w:val="00D12016"/>
    <w:rsid w:val="00D17A92"/>
    <w:rsid w:val="00D20521"/>
    <w:rsid w:val="00D21A8A"/>
    <w:rsid w:val="00D24CC1"/>
    <w:rsid w:val="00D30A4B"/>
    <w:rsid w:val="00D31FA9"/>
    <w:rsid w:val="00D34760"/>
    <w:rsid w:val="00D41594"/>
    <w:rsid w:val="00D4180A"/>
    <w:rsid w:val="00D42125"/>
    <w:rsid w:val="00D465E4"/>
    <w:rsid w:val="00D46A46"/>
    <w:rsid w:val="00D47E57"/>
    <w:rsid w:val="00D563DB"/>
    <w:rsid w:val="00D57E7C"/>
    <w:rsid w:val="00D60521"/>
    <w:rsid w:val="00D60A93"/>
    <w:rsid w:val="00D6428E"/>
    <w:rsid w:val="00D643FF"/>
    <w:rsid w:val="00D67B35"/>
    <w:rsid w:val="00D82D34"/>
    <w:rsid w:val="00D8330C"/>
    <w:rsid w:val="00D86288"/>
    <w:rsid w:val="00D8795B"/>
    <w:rsid w:val="00D95A30"/>
    <w:rsid w:val="00D96A8E"/>
    <w:rsid w:val="00DA1304"/>
    <w:rsid w:val="00DA13C7"/>
    <w:rsid w:val="00DA24B6"/>
    <w:rsid w:val="00DA32C7"/>
    <w:rsid w:val="00DA5431"/>
    <w:rsid w:val="00DB4356"/>
    <w:rsid w:val="00DB44C2"/>
    <w:rsid w:val="00DB4FF2"/>
    <w:rsid w:val="00DB733A"/>
    <w:rsid w:val="00DC24D0"/>
    <w:rsid w:val="00DC3575"/>
    <w:rsid w:val="00DC3C48"/>
    <w:rsid w:val="00DC59AA"/>
    <w:rsid w:val="00DD32B9"/>
    <w:rsid w:val="00DD3624"/>
    <w:rsid w:val="00DD45DC"/>
    <w:rsid w:val="00DD4643"/>
    <w:rsid w:val="00DE191D"/>
    <w:rsid w:val="00DE3C89"/>
    <w:rsid w:val="00DE3F64"/>
    <w:rsid w:val="00DE40B9"/>
    <w:rsid w:val="00DE45D7"/>
    <w:rsid w:val="00DF0104"/>
    <w:rsid w:val="00DF205A"/>
    <w:rsid w:val="00E00C42"/>
    <w:rsid w:val="00E01FE0"/>
    <w:rsid w:val="00E11276"/>
    <w:rsid w:val="00E1450A"/>
    <w:rsid w:val="00E1669A"/>
    <w:rsid w:val="00E2011C"/>
    <w:rsid w:val="00E34D3A"/>
    <w:rsid w:val="00E34DA1"/>
    <w:rsid w:val="00E3506C"/>
    <w:rsid w:val="00E4221E"/>
    <w:rsid w:val="00E4497E"/>
    <w:rsid w:val="00E46B23"/>
    <w:rsid w:val="00E5098A"/>
    <w:rsid w:val="00E50C5F"/>
    <w:rsid w:val="00E53B4C"/>
    <w:rsid w:val="00E54746"/>
    <w:rsid w:val="00E5556E"/>
    <w:rsid w:val="00E623BE"/>
    <w:rsid w:val="00E64ACE"/>
    <w:rsid w:val="00E7181A"/>
    <w:rsid w:val="00E72DF2"/>
    <w:rsid w:val="00E73D72"/>
    <w:rsid w:val="00E73D7F"/>
    <w:rsid w:val="00E74C21"/>
    <w:rsid w:val="00E76B91"/>
    <w:rsid w:val="00E7792A"/>
    <w:rsid w:val="00E82796"/>
    <w:rsid w:val="00E83712"/>
    <w:rsid w:val="00E84DA4"/>
    <w:rsid w:val="00E85801"/>
    <w:rsid w:val="00EA09C7"/>
    <w:rsid w:val="00EA194B"/>
    <w:rsid w:val="00EA572C"/>
    <w:rsid w:val="00EA6160"/>
    <w:rsid w:val="00EA6B34"/>
    <w:rsid w:val="00EB1460"/>
    <w:rsid w:val="00EB1F06"/>
    <w:rsid w:val="00EC61E8"/>
    <w:rsid w:val="00EE21DD"/>
    <w:rsid w:val="00EE3C78"/>
    <w:rsid w:val="00EE5694"/>
    <w:rsid w:val="00EE6FB0"/>
    <w:rsid w:val="00EF17D4"/>
    <w:rsid w:val="00EF1A02"/>
    <w:rsid w:val="00EF4909"/>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1605"/>
    <w:rsid w:val="00F3449F"/>
    <w:rsid w:val="00F3522D"/>
    <w:rsid w:val="00F36C03"/>
    <w:rsid w:val="00F3755A"/>
    <w:rsid w:val="00F467B7"/>
    <w:rsid w:val="00F50D72"/>
    <w:rsid w:val="00F53C18"/>
    <w:rsid w:val="00F575D9"/>
    <w:rsid w:val="00F57B99"/>
    <w:rsid w:val="00F7090C"/>
    <w:rsid w:val="00F83869"/>
    <w:rsid w:val="00F8628F"/>
    <w:rsid w:val="00F876B1"/>
    <w:rsid w:val="00F911DC"/>
    <w:rsid w:val="00F96E50"/>
    <w:rsid w:val="00FA0B25"/>
    <w:rsid w:val="00FA183A"/>
    <w:rsid w:val="00FA1DA2"/>
    <w:rsid w:val="00FA403B"/>
    <w:rsid w:val="00FB090C"/>
    <w:rsid w:val="00FB1940"/>
    <w:rsid w:val="00FB2A3F"/>
    <w:rsid w:val="00FB6AAC"/>
    <w:rsid w:val="00FB7211"/>
    <w:rsid w:val="00FB7B68"/>
    <w:rsid w:val="00FD0F4D"/>
    <w:rsid w:val="00FD3FE5"/>
    <w:rsid w:val="00FD41EE"/>
    <w:rsid w:val="00FD4A81"/>
    <w:rsid w:val="00FD54FA"/>
    <w:rsid w:val="00FD61D4"/>
    <w:rsid w:val="00FD685E"/>
    <w:rsid w:val="00FE06E1"/>
    <w:rsid w:val="00FE251A"/>
    <w:rsid w:val="00FE7911"/>
    <w:rsid w:val="00FE7DF4"/>
    <w:rsid w:val="00FF1CD7"/>
    <w:rsid w:val="00FF58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07/relationships/hdphoto" Target="media/hdphoto1.wdp"/><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finanzalocale.interno.it/docum/studi/varie/testounico267-2000.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www.rgs.mef.gov.it/VERSIONE-I/e_government/amministrazioni_pubbliche/arconet/" TargetMode="External"/><Relationship Id="rId10" Type="http://schemas.openxmlformats.org/officeDocument/2006/relationships/endnotes" Target="endnotes.xml"/><Relationship Id="rId19" Type="http://schemas.openxmlformats.org/officeDocument/2006/relationships/hyperlink" Target="http://finanzalocale.interno.it/docum/studi/varie/testounico267-2000.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package" Target="embeddings/Microsoft_Excel_Worksheet.xlsx"/></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71E62EF600EF24D837A6529108A308E" ma:contentTypeVersion="19" ma:contentTypeDescription="Creare un nuovo documento." ma:contentTypeScope="" ma:versionID="4a659583600339b95ff03cb2696f48df">
  <xsd:schema xmlns:xsd="http://www.w3.org/2001/XMLSchema" xmlns:xs="http://www.w3.org/2001/XMLSchema" xmlns:p="http://schemas.microsoft.com/office/2006/metadata/properties" xmlns:ns2="5a2ba1fa-559d-4c3c-83b6-0451cadb29a5" xmlns:ns3="25ac2abd-8607-4000-bac3-714b562db7e6" targetNamespace="http://schemas.microsoft.com/office/2006/metadata/properties" ma:root="true" ma:fieldsID="d388a4e1f698d5922727780ebfe946e9" ns2:_="" ns3:_="">
    <xsd:import namespace="5a2ba1fa-559d-4c3c-83b6-0451cadb29a5"/>
    <xsd:import namespace="25ac2abd-8607-4000-bac3-714b562db7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collegati"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2ba1fa-559d-4c3c-83b6-0451cadb29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collegati" ma:index="21" nillable="true" ma:displayName="collegati" ma:format="Dropdown" ma:list="UserInfo" ma:SharePointGroup="0" ma:internalName="collegati">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23" nillable="true" ma:taxonomy="true" ma:internalName="lcf76f155ced4ddcb4097134ff3c332f" ma:taxonomyFieldName="MediaServiceImageTags" ma:displayName="Tag immagine" ma:readOnly="false" ma:fieldId="{5cf76f15-5ced-4ddc-b409-7134ff3c332f}" ma:taxonomyMulti="true" ma:sspId="779b95b0-a76d-49fd-a05c-f853142caf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ac2abd-8607-4000-bac3-714b562db7e6"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4" nillable="true" ma:displayName="Taxonomy Catch All Column" ma:hidden="true" ma:list="{7a46c862-3bd0-41a1-a6cc-6303a5d48ecb}" ma:internalName="TaxCatchAll" ma:showField="CatchAllData" ma:web="25ac2abd-8607-4000-bac3-714b562db7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a2ba1fa-559d-4c3c-83b6-0451cadb29a5">
      <Terms xmlns="http://schemas.microsoft.com/office/infopath/2007/PartnerControls"/>
    </lcf76f155ced4ddcb4097134ff3c332f>
    <collegati xmlns="5a2ba1fa-559d-4c3c-83b6-0451cadb29a5">
      <UserInfo>
        <DisplayName/>
        <AccountId xsi:nil="true"/>
        <AccountType/>
      </UserInfo>
    </collegati>
    <TaxCatchAll xmlns="25ac2abd-8607-4000-bac3-714b562db7e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A6038A-99FD-43F4-A01B-3B7F3CDF0E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2ba1fa-559d-4c3c-83b6-0451cadb29a5"/>
    <ds:schemaRef ds:uri="25ac2abd-8607-4000-bac3-714b562db7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8D56C1-4C83-4F81-9F9D-F653D4592DFB}">
  <ds:schemaRefs>
    <ds:schemaRef ds:uri="http://schemas.microsoft.com/sharepoint/v3/contenttype/forms"/>
  </ds:schemaRefs>
</ds:datastoreItem>
</file>

<file path=customXml/itemProps3.xml><?xml version="1.0" encoding="utf-8"?>
<ds:datastoreItem xmlns:ds="http://schemas.openxmlformats.org/officeDocument/2006/customXml" ds:itemID="{D32CA52C-AE1E-4146-B9D1-9A3B9290D32C}">
  <ds:schemaRefs>
    <ds:schemaRef ds:uri="http://schemas.microsoft.com/office/2006/metadata/properties"/>
    <ds:schemaRef ds:uri="http://schemas.microsoft.com/office/infopath/2007/PartnerControls"/>
    <ds:schemaRef ds:uri="5a2ba1fa-559d-4c3c-83b6-0451cadb29a5"/>
    <ds:schemaRef ds:uri="25ac2abd-8607-4000-bac3-714b562db7e6"/>
  </ds:schemaRefs>
</ds:datastoreItem>
</file>

<file path=customXml/itemProps4.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Pages>
  <Words>14057</Words>
  <Characters>80131</Characters>
  <Application>Microsoft Office Word</Application>
  <DocSecurity>0</DocSecurity>
  <Lines>667</Lines>
  <Paragraphs>187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6</cp:revision>
  <cp:lastPrinted>2023-09-28T10:04:00Z</cp:lastPrinted>
  <dcterms:created xsi:type="dcterms:W3CDTF">2025-01-15T09:51:00Z</dcterms:created>
  <dcterms:modified xsi:type="dcterms:W3CDTF">2025-01-16T11:02:00Z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0x010100D71E62EF600EF24D837A6529108A308E</vt:lpwstr>
  </property>
</Properties>
</file>